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bidi w:val="0"/>
        <w:rPr>
          <w:rFonts w:hint="eastAsia"/>
        </w:rPr>
      </w:pPr>
      <w:bookmarkStart w:id="0" w:name="zhengwen"/>
      <w:r>
        <w:rPr>
          <w:rFonts w:hint="eastAsia"/>
          <w:lang w:eastAsia="zh-CN"/>
        </w:rPr>
        <w:t>一次性使用手术帽产品</w:t>
      </w:r>
      <w:r>
        <w:rPr>
          <w:rFonts w:hint="eastAsia"/>
        </w:rPr>
        <w:t>注册审查指导原则</w:t>
      </w:r>
    </w:p>
    <w:p>
      <w:pPr>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2021年制定</w:t>
      </w:r>
      <w:r>
        <w:rPr>
          <w:rFonts w:hint="eastAsia" w:ascii="方正小标宋简体" w:hAnsi="方正小标宋简体" w:eastAsia="方正小标宋简体" w:cs="方正小标宋简体"/>
          <w:sz w:val="44"/>
          <w:szCs w:val="44"/>
          <w:lang w:eastAsia="zh-CN"/>
        </w:rPr>
        <w:t>）（征求意见稿）</w:t>
      </w:r>
    </w:p>
    <w:p>
      <w:pPr>
        <w:jc w:val="center"/>
        <w:rPr>
          <w:rFonts w:hint="eastAsia" w:ascii="方正小标宋简体" w:hAnsi="方正小标宋简体" w:eastAsia="方正小标宋简体" w:cs="方正小标宋简体"/>
          <w:sz w:val="44"/>
          <w:szCs w:val="44"/>
          <w:lang w:eastAsia="zh-CN"/>
        </w:rPr>
      </w:pPr>
      <w:bookmarkStart w:id="7" w:name="_GoBack"/>
      <w:bookmarkEnd w:id="7"/>
    </w:p>
    <w:p>
      <w:pPr>
        <w:pStyle w:val="8"/>
        <w:keepNext w:val="0"/>
        <w:keepLines w:val="0"/>
        <w:pageBreakBefore w:val="0"/>
        <w:widowControl w:val="0"/>
        <w:kinsoku/>
        <w:wordWrap/>
        <w:topLinePunct w:val="0"/>
        <w:bidi w:val="0"/>
        <w:adjustRightInd/>
        <w:snapToGrid/>
        <w:spacing w:line="520" w:lineRule="exact"/>
        <w:ind w:firstLine="640" w:firstLineChars="200"/>
        <w:textAlignment w:val="auto"/>
        <w:rPr>
          <w:rFonts w:hint="eastAsia" w:ascii="Times New Roman" w:hAnsi="Times New Roman" w:eastAsia="仿宋_GB2312" w:cs="仿宋_GB2312"/>
          <w:snapToGrid w:val="0"/>
          <w:kern w:val="0"/>
          <w:sz w:val="32"/>
          <w:szCs w:val="32"/>
          <w:lang w:val="en-US" w:eastAsia="zh-CN" w:bidi="ar-SA"/>
        </w:rPr>
      </w:pPr>
      <w:r>
        <w:rPr>
          <w:rFonts w:hint="eastAsia" w:ascii="Times New Roman" w:hAnsi="Times New Roman" w:eastAsia="仿宋_GB2312" w:cs="仿宋_GB2312"/>
          <w:snapToGrid w:val="0"/>
          <w:kern w:val="0"/>
          <w:sz w:val="32"/>
          <w:szCs w:val="32"/>
          <w:lang w:val="en-US" w:eastAsia="zh-CN" w:bidi="ar-SA"/>
        </w:rPr>
        <w:t>本指导原则旨在指导注册申请人对一次性使用手术帽注册申报资料的准备及撰写，同时也为技术审评部门审查注册申报资料提供参考。</w:t>
      </w:r>
    </w:p>
    <w:p>
      <w:pPr>
        <w:keepNext w:val="0"/>
        <w:keepLines w:val="0"/>
        <w:pageBreakBefore w:val="0"/>
        <w:widowControl w:val="0"/>
        <w:kinsoku/>
        <w:wordWrap/>
        <w:overflowPunct w:val="0"/>
        <w:topLinePunct w:val="0"/>
        <w:autoSpaceDE w:val="0"/>
        <w:autoSpaceDN w:val="0"/>
        <w:bidi w:val="0"/>
        <w:adjustRightInd/>
        <w:snapToGrid/>
        <w:spacing w:line="52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本指导原则是对</w:t>
      </w:r>
      <w:r>
        <w:rPr>
          <w:rFonts w:hint="eastAsia" w:ascii="Times New Roman" w:hAnsi="Times New Roman" w:eastAsia="仿宋_GB2312" w:cs="仿宋_GB2312"/>
          <w:snapToGrid w:val="0"/>
          <w:kern w:val="0"/>
          <w:sz w:val="32"/>
          <w:szCs w:val="32"/>
          <w:lang w:eastAsia="zh-CN"/>
        </w:rPr>
        <w:t>一次性使用手术帽</w:t>
      </w:r>
      <w:r>
        <w:rPr>
          <w:rFonts w:hint="eastAsia" w:ascii="Times New Roman" w:hAnsi="Times New Roman" w:eastAsia="仿宋_GB2312" w:cs="仿宋_GB2312"/>
          <w:snapToGrid w:val="0"/>
          <w:kern w:val="0"/>
          <w:sz w:val="32"/>
          <w:szCs w:val="32"/>
        </w:rPr>
        <w:t>的一般要求，申请人应依据产品的具体特性确定其中内容是否适用</w:t>
      </w:r>
      <w:r>
        <w:rPr>
          <w:rFonts w:hint="eastAsia" w:ascii="Times New Roman" w:hAnsi="Times New Roman" w:eastAsia="仿宋_GB2312" w:cs="仿宋_GB2312"/>
          <w:snapToGrid w:val="0"/>
          <w:kern w:val="0"/>
          <w:sz w:val="32"/>
          <w:szCs w:val="32"/>
          <w:lang w:eastAsia="zh-CN"/>
        </w:rPr>
        <w:t>。</w:t>
      </w:r>
      <w:r>
        <w:rPr>
          <w:rFonts w:hint="eastAsia" w:ascii="Times New Roman" w:hAnsi="Times New Roman" w:eastAsia="仿宋_GB2312" w:cs="仿宋_GB2312"/>
          <w:snapToGrid w:val="0"/>
          <w:kern w:val="0"/>
          <w:sz w:val="32"/>
          <w:szCs w:val="32"/>
        </w:rPr>
        <w:t>若不适用，需详细阐述理由及相应的科学依据</w:t>
      </w:r>
      <w:r>
        <w:rPr>
          <w:rFonts w:hint="eastAsia" w:ascii="Times New Roman" w:hAnsi="Times New Roman" w:eastAsia="仿宋_GB2312" w:cs="仿宋_GB2312"/>
          <w:snapToGrid w:val="0"/>
          <w:kern w:val="0"/>
          <w:sz w:val="32"/>
          <w:szCs w:val="32"/>
          <w:lang w:eastAsia="zh-CN"/>
        </w:rPr>
        <w:t>，</w:t>
      </w:r>
      <w:r>
        <w:rPr>
          <w:rFonts w:hint="eastAsia" w:ascii="Times New Roman" w:hAnsi="Times New Roman" w:eastAsia="仿宋_GB2312" w:cs="仿宋_GB2312"/>
          <w:snapToGrid w:val="0"/>
          <w:kern w:val="0"/>
          <w:sz w:val="32"/>
          <w:szCs w:val="32"/>
        </w:rPr>
        <w:t>并依据产品的具体特性对注册申报资料的内容进行充实和细化。</w:t>
      </w:r>
    </w:p>
    <w:p>
      <w:pPr>
        <w:keepNext w:val="0"/>
        <w:keepLines w:val="0"/>
        <w:pageBreakBefore w:val="0"/>
        <w:widowControl w:val="0"/>
        <w:kinsoku/>
        <w:wordWrap/>
        <w:overflowPunct w:val="0"/>
        <w:topLinePunct w:val="0"/>
        <w:autoSpaceDE w:val="0"/>
        <w:autoSpaceDN w:val="0"/>
        <w:bidi w:val="0"/>
        <w:adjustRightInd/>
        <w:snapToGrid/>
        <w:spacing w:line="52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本指导原则是</w:t>
      </w:r>
      <w:r>
        <w:rPr>
          <w:rFonts w:hint="eastAsia" w:ascii="Times New Roman" w:hAnsi="Times New Roman" w:eastAsia="仿宋_GB2312" w:cs="仿宋_GB2312"/>
          <w:snapToGrid w:val="0"/>
          <w:kern w:val="0"/>
          <w:sz w:val="32"/>
          <w:szCs w:val="32"/>
          <w:lang w:eastAsia="zh-CN"/>
        </w:rPr>
        <w:t>供注册</w:t>
      </w:r>
      <w:r>
        <w:rPr>
          <w:rFonts w:hint="eastAsia" w:ascii="Times New Roman" w:hAnsi="Times New Roman" w:eastAsia="仿宋_GB2312" w:cs="仿宋_GB2312"/>
          <w:snapToGrid w:val="0"/>
          <w:kern w:val="0"/>
          <w:sz w:val="32"/>
          <w:szCs w:val="32"/>
        </w:rPr>
        <w:t>申请人和</w:t>
      </w:r>
      <w:r>
        <w:rPr>
          <w:rFonts w:hint="eastAsia" w:ascii="Times New Roman" w:hAnsi="Times New Roman" w:eastAsia="仿宋_GB2312" w:cs="仿宋_GB2312"/>
          <w:snapToGrid w:val="0"/>
          <w:kern w:val="0"/>
          <w:sz w:val="32"/>
          <w:szCs w:val="32"/>
          <w:lang w:eastAsia="zh-CN"/>
        </w:rPr>
        <w:t>技术审评</w:t>
      </w:r>
      <w:r>
        <w:rPr>
          <w:rFonts w:hint="eastAsia" w:ascii="Times New Roman" w:hAnsi="Times New Roman" w:eastAsia="仿宋_GB2312" w:cs="仿宋_GB2312"/>
          <w:snapToGrid w:val="0"/>
          <w:kern w:val="0"/>
          <w:sz w:val="32"/>
          <w:szCs w:val="32"/>
        </w:rPr>
        <w:t>人员</w:t>
      </w:r>
      <w:r>
        <w:rPr>
          <w:rFonts w:hint="eastAsia" w:ascii="Times New Roman" w:hAnsi="Times New Roman" w:eastAsia="仿宋_GB2312" w:cs="仿宋_GB2312"/>
          <w:snapToGrid w:val="0"/>
          <w:kern w:val="0"/>
          <w:sz w:val="32"/>
          <w:szCs w:val="32"/>
          <w:lang w:val="en-US" w:eastAsia="zh-CN"/>
        </w:rPr>
        <w:t>使用</w:t>
      </w:r>
      <w:r>
        <w:rPr>
          <w:rFonts w:hint="eastAsia" w:ascii="Times New Roman" w:hAnsi="Times New Roman" w:eastAsia="仿宋_GB2312" w:cs="仿宋_GB2312"/>
          <w:snapToGrid w:val="0"/>
          <w:kern w:val="0"/>
          <w:sz w:val="32"/>
          <w:szCs w:val="32"/>
        </w:rPr>
        <w:t>的指导性文件，但不包括</w:t>
      </w:r>
      <w:r>
        <w:rPr>
          <w:rFonts w:hint="eastAsia" w:ascii="Times New Roman" w:hAnsi="Times New Roman" w:eastAsia="仿宋_GB2312" w:cs="仿宋_GB2312"/>
          <w:snapToGrid w:val="0"/>
          <w:kern w:val="0"/>
          <w:sz w:val="32"/>
          <w:szCs w:val="32"/>
          <w:lang w:eastAsia="zh-CN"/>
        </w:rPr>
        <w:t>审评</w:t>
      </w:r>
      <w:r>
        <w:rPr>
          <w:rFonts w:hint="eastAsia" w:ascii="Times New Roman" w:hAnsi="Times New Roman" w:eastAsia="仿宋_GB2312" w:cs="仿宋_GB2312"/>
          <w:snapToGrid w:val="0"/>
          <w:kern w:val="0"/>
          <w:sz w:val="32"/>
          <w:szCs w:val="32"/>
        </w:rPr>
        <w:t>审批所涉及的行政事项，亦不作为法规强制执行，</w:t>
      </w:r>
      <w:r>
        <w:rPr>
          <w:rFonts w:hint="eastAsia" w:ascii="Times New Roman" w:hAnsi="Times New Roman" w:eastAsia="仿宋_GB2312" w:cs="仿宋_GB2312"/>
          <w:snapToGrid w:val="0"/>
          <w:kern w:val="0"/>
          <w:sz w:val="32"/>
          <w:szCs w:val="32"/>
          <w:lang w:eastAsia="zh-CN"/>
        </w:rPr>
        <w:t>应在遵循相关法规的前提下使用本指导原则。</w:t>
      </w:r>
      <w:r>
        <w:rPr>
          <w:rFonts w:hint="eastAsia" w:ascii="Times New Roman" w:hAnsi="Times New Roman" w:eastAsia="仿宋_GB2312" w:cs="仿宋_GB2312"/>
          <w:snapToGrid w:val="0"/>
          <w:kern w:val="0"/>
          <w:sz w:val="32"/>
          <w:szCs w:val="32"/>
        </w:rPr>
        <w:t>如果有能</w:t>
      </w:r>
      <w:r>
        <w:rPr>
          <w:rFonts w:hint="eastAsia" w:ascii="Times New Roman" w:hAnsi="Times New Roman" w:eastAsia="仿宋_GB2312" w:cs="仿宋_GB2312"/>
          <w:snapToGrid w:val="0"/>
          <w:kern w:val="0"/>
          <w:sz w:val="32"/>
          <w:szCs w:val="32"/>
          <w:lang w:eastAsia="zh-CN"/>
        </w:rPr>
        <w:t>够</w:t>
      </w:r>
      <w:r>
        <w:rPr>
          <w:rFonts w:hint="eastAsia" w:ascii="Times New Roman" w:hAnsi="Times New Roman" w:eastAsia="仿宋_GB2312" w:cs="仿宋_GB2312"/>
          <w:snapToGrid w:val="0"/>
          <w:kern w:val="0"/>
          <w:sz w:val="32"/>
          <w:szCs w:val="32"/>
        </w:rPr>
        <w:t>满足相关法规要求的其他方法，也可以采用，但是需要提供详细的研究资料和验证资料。</w:t>
      </w:r>
    </w:p>
    <w:p>
      <w:pPr>
        <w:keepNext w:val="0"/>
        <w:keepLines w:val="0"/>
        <w:pageBreakBefore w:val="0"/>
        <w:widowControl w:val="0"/>
        <w:kinsoku/>
        <w:wordWrap/>
        <w:overflowPunct w:val="0"/>
        <w:topLinePunct w:val="0"/>
        <w:autoSpaceDE w:val="0"/>
        <w:autoSpaceDN w:val="0"/>
        <w:bidi w:val="0"/>
        <w:adjustRightInd/>
        <w:snapToGrid/>
        <w:spacing w:line="520" w:lineRule="exact"/>
        <w:ind w:firstLine="640" w:firstLineChars="200"/>
        <w:textAlignment w:val="auto"/>
        <w:rPr>
          <w:rFonts w:hint="eastAsia" w:ascii="Times New Roman" w:hAnsi="Times New Roman" w:eastAsia="仿宋_GB2312" w:cs="仿宋_GB2312"/>
          <w:snapToGrid w:val="0"/>
          <w:kern w:val="0"/>
          <w:sz w:val="32"/>
          <w:szCs w:val="32"/>
        </w:rPr>
      </w:pPr>
      <w:r>
        <w:rPr>
          <w:rFonts w:hint="eastAsia" w:ascii="Times New Roman" w:hAnsi="Times New Roman" w:eastAsia="仿宋_GB2312" w:cs="仿宋_GB2312"/>
          <w:snapToGrid w:val="0"/>
          <w:kern w:val="0"/>
          <w:sz w:val="32"/>
          <w:szCs w:val="32"/>
        </w:rPr>
        <w:t>本指导原则是在现行法规和标准体系以及当前认知水平下制定的，随着法规和标准的不断完善，以及科学技术的不断发展，相关内容也将进行适时的调整。</w:t>
      </w:r>
    </w:p>
    <w:p>
      <w:pPr>
        <w:pStyle w:val="2"/>
        <w:numPr>
          <w:ilvl w:val="0"/>
          <w:numId w:val="1"/>
        </w:numPr>
        <w:bidi w:val="0"/>
      </w:pPr>
      <w:bookmarkStart w:id="1" w:name="_Toc354585107"/>
      <w:r>
        <w:t>适用范围</w:t>
      </w:r>
      <w:bookmarkEnd w:id="1"/>
    </w:p>
    <w:p>
      <w:pPr>
        <w:overflowPunct w:val="0"/>
        <w:autoSpaceDE w:val="0"/>
        <w:autoSpaceDN w:val="0"/>
        <w:spacing w:line="560" w:lineRule="exact"/>
        <w:ind w:firstLine="640" w:firstLineChars="200"/>
        <w:rPr>
          <w:rFonts w:hint="eastAsia" w:eastAsia="仿宋_GB2312"/>
          <w:snapToGrid w:val="0"/>
          <w:kern w:val="0"/>
          <w:sz w:val="32"/>
          <w:szCs w:val="32"/>
        </w:rPr>
      </w:pPr>
      <w:r>
        <w:rPr>
          <w:rFonts w:hint="eastAsia" w:eastAsia="仿宋_GB2312"/>
          <w:snapToGrid w:val="0"/>
          <w:kern w:val="0"/>
          <w:sz w:val="32"/>
          <w:szCs w:val="32"/>
        </w:rPr>
        <w:t>本指导原则适用于《医疗器械分类目录》中分类编码为</w:t>
      </w:r>
      <w:r>
        <w:rPr>
          <w:rFonts w:hint="eastAsia" w:ascii="Times New Roman" w:hAnsi="Times New Roman" w:eastAsia="仿宋_GB2312" w:cs="仿宋_GB2312"/>
          <w:snapToGrid w:val="0"/>
          <w:kern w:val="0"/>
          <w:sz w:val="32"/>
          <w:szCs w:val="32"/>
          <w:lang w:val="en-US" w:eastAsia="zh-CN"/>
        </w:rPr>
        <w:t>14-13-05</w:t>
      </w:r>
      <w:r>
        <w:rPr>
          <w:rFonts w:hint="eastAsia" w:eastAsia="仿宋_GB2312"/>
          <w:snapToGrid w:val="0"/>
          <w:kern w:val="0"/>
          <w:sz w:val="32"/>
          <w:szCs w:val="32"/>
        </w:rPr>
        <w:t>的</w:t>
      </w:r>
      <w:r>
        <w:rPr>
          <w:rFonts w:hint="eastAsia" w:ascii="Times New Roman" w:hAnsi="Times New Roman" w:eastAsia="仿宋_GB2312" w:cs="仿宋_GB2312"/>
          <w:snapToGrid w:val="0"/>
          <w:kern w:val="0"/>
          <w:sz w:val="32"/>
          <w:szCs w:val="32"/>
          <w:lang w:eastAsia="zh-CN"/>
        </w:rPr>
        <w:t>一次性使用手术帽产品</w:t>
      </w:r>
      <w:r>
        <w:rPr>
          <w:rFonts w:hint="eastAsia" w:eastAsia="仿宋_GB2312" w:cs="仿宋_GB2312"/>
          <w:snapToGrid w:val="0"/>
          <w:kern w:val="0"/>
          <w:sz w:val="32"/>
          <w:szCs w:val="32"/>
          <w:lang w:eastAsia="zh-CN"/>
        </w:rPr>
        <w:t>，产品以“无菌”状态提供</w:t>
      </w:r>
      <w:r>
        <w:rPr>
          <w:rFonts w:hint="eastAsia" w:eastAsia="仿宋_GB2312"/>
          <w:snapToGrid w:val="0"/>
          <w:kern w:val="0"/>
          <w:sz w:val="32"/>
          <w:szCs w:val="32"/>
        </w:rPr>
        <w:t>。</w:t>
      </w:r>
    </w:p>
    <w:p>
      <w:pPr>
        <w:bidi w:val="0"/>
        <w:jc w:val="left"/>
        <w:rPr>
          <w:rFonts w:hint="eastAsia"/>
          <w:lang w:val="en-US" w:eastAsia="zh-CN"/>
        </w:rPr>
      </w:pPr>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jc w:val="left"/>
        <w:rPr>
          <w:rFonts w:hint="eastAsia"/>
          <w:lang w:val="en-US" w:eastAsia="zh-CN"/>
        </w:rPr>
      </w:pPr>
    </w:p>
    <w:p>
      <w:pPr>
        <w:pStyle w:val="2"/>
        <w:bidi w:val="0"/>
        <w:rPr>
          <w:rFonts w:hint="eastAsia"/>
          <w:lang w:eastAsia="zh-CN"/>
        </w:rPr>
      </w:pPr>
      <w:bookmarkStart w:id="2" w:name="_Toc354585108"/>
      <w:r>
        <w:t>二、</w:t>
      </w:r>
      <w:bookmarkEnd w:id="2"/>
      <w:r>
        <w:rPr>
          <w:rFonts w:hint="eastAsia"/>
          <w:lang w:eastAsia="zh-CN"/>
        </w:rPr>
        <w:t>技术审查要点</w:t>
      </w:r>
    </w:p>
    <w:p>
      <w:pPr>
        <w:pStyle w:val="3"/>
        <w:bidi w:val="0"/>
        <w:rPr>
          <w:rFonts w:hint="eastAsia"/>
          <w:lang w:eastAsia="zh-CN"/>
        </w:rPr>
      </w:pPr>
      <w:r>
        <w:rPr>
          <w:rFonts w:hint="eastAsia"/>
        </w:rPr>
        <w:t>（一）</w:t>
      </w:r>
      <w:r>
        <w:rPr>
          <w:rFonts w:hint="eastAsia"/>
          <w:lang w:eastAsia="zh-CN"/>
        </w:rPr>
        <w:t>监管信息</w:t>
      </w:r>
    </w:p>
    <w:p>
      <w:pPr>
        <w:pStyle w:val="2"/>
        <w:keepNext/>
        <w:keepLines/>
        <w:pageBreakBefore w:val="0"/>
        <w:widowControl w:val="0"/>
        <w:kinsoku/>
        <w:wordWrap/>
        <w:overflowPunct/>
        <w:topLinePunct w:val="0"/>
        <w:autoSpaceDE/>
        <w:autoSpaceDN/>
        <w:bidi w:val="0"/>
        <w:adjustRightInd/>
        <w:snapToGrid/>
        <w:spacing w:before="0" w:after="0" w:line="520" w:lineRule="exact"/>
        <w:ind w:left="0" w:leftChars="0" w:firstLine="640" w:firstLineChars="200"/>
        <w:jc w:val="both"/>
        <w:textAlignment w:val="auto"/>
        <w:rPr>
          <w:rFonts w:eastAsia="仿宋_GB2312"/>
          <w:snapToGrid w:val="0"/>
          <w:kern w:val="0"/>
          <w:sz w:val="32"/>
          <w:szCs w:val="32"/>
        </w:rPr>
      </w:pPr>
      <w:r>
        <w:rPr>
          <w:rFonts w:eastAsia="仿宋_GB2312"/>
          <w:sz w:val="32"/>
          <w:szCs w:val="32"/>
        </w:rPr>
        <w:t>申请人应描述</w:t>
      </w:r>
      <w:r>
        <w:rPr>
          <w:rFonts w:hint="eastAsia" w:eastAsia="仿宋_GB2312"/>
          <w:snapToGrid w:val="0"/>
          <w:kern w:val="0"/>
          <w:sz w:val="32"/>
          <w:szCs w:val="32"/>
          <w:lang w:eastAsia="zh-CN"/>
        </w:rPr>
        <w:t>一次性使用手术帽</w:t>
      </w:r>
      <w:r>
        <w:rPr>
          <w:rFonts w:eastAsia="仿宋_GB2312"/>
          <w:snapToGrid w:val="0"/>
          <w:kern w:val="0"/>
          <w:sz w:val="32"/>
          <w:szCs w:val="32"/>
        </w:rPr>
        <w:t>的产品名称的确定依据</w:t>
      </w:r>
      <w:r>
        <w:rPr>
          <w:rFonts w:hint="eastAsia" w:eastAsia="仿宋_GB2312"/>
          <w:snapToGrid w:val="0"/>
          <w:kern w:val="0"/>
          <w:sz w:val="32"/>
          <w:szCs w:val="32"/>
        </w:rPr>
        <w:t>、</w:t>
      </w:r>
      <w:r>
        <w:rPr>
          <w:rFonts w:eastAsia="仿宋_GB2312"/>
          <w:snapToGrid w:val="0"/>
          <w:kern w:val="0"/>
          <w:sz w:val="32"/>
          <w:szCs w:val="32"/>
        </w:rPr>
        <w:t>管理类别、分类编码</w:t>
      </w:r>
      <w:r>
        <w:rPr>
          <w:rFonts w:hint="eastAsia" w:eastAsia="仿宋_GB2312"/>
          <w:snapToGrid w:val="0"/>
          <w:kern w:val="0"/>
          <w:sz w:val="32"/>
          <w:szCs w:val="32"/>
        </w:rPr>
        <w:t>、规格型号、产品组成等信息</w:t>
      </w:r>
      <w:r>
        <w:rPr>
          <w:rFonts w:eastAsia="仿宋_GB2312"/>
          <w:snapToGrid w:val="0"/>
          <w:kern w:val="0"/>
          <w:sz w:val="32"/>
          <w:szCs w:val="32"/>
        </w:rPr>
        <w:t>。</w:t>
      </w:r>
    </w:p>
    <w:p>
      <w:pPr>
        <w:pStyle w:val="4"/>
        <w:bidi w:val="0"/>
        <w:rPr>
          <w:rFonts w:hint="default"/>
          <w:lang w:val="en-US" w:eastAsia="zh-CN"/>
        </w:rPr>
      </w:pPr>
      <w:r>
        <w:rPr>
          <w:rFonts w:hint="eastAsia"/>
          <w:lang w:val="en-US" w:eastAsia="zh-CN"/>
        </w:rPr>
        <w:t>1.产品名称</w:t>
      </w:r>
    </w:p>
    <w:p>
      <w:pPr>
        <w:keepNext w:val="0"/>
        <w:keepLines w:val="0"/>
        <w:pageBreakBefore w:val="0"/>
        <w:widowControl w:val="0"/>
        <w:kinsoku/>
        <w:wordWrap/>
        <w:overflowPunct w:val="0"/>
        <w:topLinePunct w:val="0"/>
        <w:autoSpaceDE w:val="0"/>
        <w:autoSpaceDN w:val="0"/>
        <w:bidi w:val="0"/>
        <w:adjustRightInd/>
        <w:snapToGrid/>
        <w:spacing w:line="520" w:lineRule="exact"/>
        <w:ind w:firstLine="640" w:firstLineChars="200"/>
        <w:textAlignment w:val="auto"/>
        <w:rPr>
          <w:rFonts w:hint="eastAsia" w:ascii="Times New Roman" w:hAnsi="Times New Roman" w:eastAsia="仿宋_GB2312" w:cs="仿宋_GB2312"/>
          <w:snapToGrid w:val="0"/>
          <w:kern w:val="0"/>
          <w:sz w:val="32"/>
          <w:szCs w:val="32"/>
          <w:lang w:val="en-US" w:eastAsia="zh-CN"/>
        </w:rPr>
      </w:pPr>
      <w:r>
        <w:rPr>
          <w:rFonts w:hint="eastAsia" w:ascii="Times New Roman" w:hAnsi="Times New Roman" w:eastAsia="仿宋_GB2312" w:cs="仿宋_GB2312"/>
          <w:snapToGrid w:val="0"/>
          <w:kern w:val="0"/>
          <w:sz w:val="32"/>
          <w:szCs w:val="32"/>
          <w:lang w:eastAsia="zh-CN"/>
        </w:rPr>
        <w:t>产品名称应参照《医疗器械通用名称命名规则》制定，一般采用“特征词＋核心词”的命名方法，特征词一般不超过</w:t>
      </w:r>
      <w:r>
        <w:rPr>
          <w:rFonts w:hint="eastAsia" w:ascii="Times New Roman" w:hAnsi="Times New Roman" w:eastAsia="仿宋_GB2312" w:cs="仿宋_GB2312"/>
          <w:snapToGrid w:val="0"/>
          <w:kern w:val="0"/>
          <w:sz w:val="32"/>
          <w:szCs w:val="32"/>
          <w:lang w:val="en-US" w:eastAsia="zh-CN"/>
        </w:rPr>
        <w:t>3个。</w:t>
      </w:r>
    </w:p>
    <w:p>
      <w:pPr>
        <w:pStyle w:val="4"/>
        <w:bidi w:val="0"/>
        <w:rPr>
          <w:rFonts w:hint="eastAsia"/>
          <w:lang w:val="en-US" w:eastAsia="zh-CN"/>
        </w:rPr>
      </w:pPr>
      <w:r>
        <w:rPr>
          <w:rFonts w:hint="eastAsia"/>
          <w:lang w:val="en-US" w:eastAsia="zh-CN"/>
        </w:rPr>
        <w:t>2.分类编码</w:t>
      </w:r>
    </w:p>
    <w:p>
      <w:pPr>
        <w:keepNext w:val="0"/>
        <w:keepLines w:val="0"/>
        <w:pageBreakBefore w:val="0"/>
        <w:widowControl w:val="0"/>
        <w:kinsoku/>
        <w:wordWrap/>
        <w:overflowPunct w:val="0"/>
        <w:topLinePunct w:val="0"/>
        <w:autoSpaceDE w:val="0"/>
        <w:autoSpaceDN w:val="0"/>
        <w:bidi w:val="0"/>
        <w:adjustRightInd/>
        <w:snapToGrid/>
        <w:spacing w:line="520" w:lineRule="exact"/>
        <w:ind w:firstLine="640" w:firstLineChars="200"/>
        <w:textAlignment w:val="auto"/>
        <w:rPr>
          <w:rFonts w:hint="eastAsia" w:ascii="Times New Roman" w:hAnsi="Times New Roman" w:eastAsia="仿宋_GB2312" w:cs="仿宋_GB2312"/>
          <w:snapToGrid w:val="0"/>
          <w:kern w:val="0"/>
          <w:sz w:val="32"/>
          <w:szCs w:val="32"/>
          <w:lang w:eastAsia="zh-CN"/>
        </w:rPr>
      </w:pPr>
      <w:r>
        <w:rPr>
          <w:rFonts w:hint="eastAsia" w:ascii="Times New Roman" w:hAnsi="Times New Roman" w:eastAsia="仿宋_GB2312" w:cs="仿宋_GB2312"/>
          <w:snapToGrid w:val="0"/>
          <w:kern w:val="0"/>
          <w:sz w:val="32"/>
          <w:szCs w:val="32"/>
          <w:lang w:eastAsia="zh-CN"/>
        </w:rPr>
        <w:t>参考《医疗器械分类目录》，申报产品属于子目录</w:t>
      </w:r>
      <w:r>
        <w:rPr>
          <w:rFonts w:hint="eastAsia" w:eastAsia="仿宋_GB2312" w:cs="仿宋_GB2312"/>
          <w:snapToGrid w:val="0"/>
          <w:kern w:val="0"/>
          <w:sz w:val="32"/>
          <w:szCs w:val="32"/>
          <w:lang w:val="en-US" w:eastAsia="zh-CN"/>
        </w:rPr>
        <w:t>14</w:t>
      </w:r>
      <w:r>
        <w:rPr>
          <w:rFonts w:hint="eastAsia" w:ascii="Times New Roman" w:hAnsi="Times New Roman" w:eastAsia="仿宋_GB2312" w:cs="仿宋_GB2312"/>
          <w:snapToGrid w:val="0"/>
          <w:kern w:val="0"/>
          <w:sz w:val="32"/>
          <w:szCs w:val="32"/>
          <w:lang w:eastAsia="zh-CN"/>
        </w:rPr>
        <w:t>-</w:t>
      </w:r>
      <w:r>
        <w:rPr>
          <w:rFonts w:hint="eastAsia" w:eastAsia="仿宋_GB2312" w:cs="仿宋_GB2312"/>
          <w:snapToGrid w:val="0"/>
          <w:kern w:val="0"/>
          <w:sz w:val="32"/>
          <w:szCs w:val="32"/>
          <w:lang w:eastAsia="zh-CN"/>
        </w:rPr>
        <w:t>注输、护理和防护器械</w:t>
      </w:r>
      <w:r>
        <w:rPr>
          <w:rFonts w:hint="eastAsia" w:ascii="Times New Roman" w:hAnsi="Times New Roman" w:eastAsia="仿宋_GB2312" w:cs="仿宋_GB2312"/>
          <w:snapToGrid w:val="0"/>
          <w:kern w:val="0"/>
          <w:sz w:val="32"/>
          <w:szCs w:val="32"/>
          <w:lang w:eastAsia="zh-CN"/>
        </w:rPr>
        <w:t>，一级产品类别</w:t>
      </w:r>
      <w:r>
        <w:rPr>
          <w:rFonts w:hint="eastAsia" w:eastAsia="仿宋_GB2312" w:cs="仿宋_GB2312"/>
          <w:snapToGrid w:val="0"/>
          <w:kern w:val="0"/>
          <w:sz w:val="32"/>
          <w:szCs w:val="32"/>
          <w:lang w:val="en-US" w:eastAsia="zh-CN"/>
        </w:rPr>
        <w:t>13</w:t>
      </w:r>
      <w:r>
        <w:rPr>
          <w:rFonts w:hint="eastAsia" w:ascii="Times New Roman" w:hAnsi="Times New Roman" w:eastAsia="仿宋_GB2312" w:cs="仿宋_GB2312"/>
          <w:snapToGrid w:val="0"/>
          <w:kern w:val="0"/>
          <w:sz w:val="32"/>
          <w:szCs w:val="32"/>
          <w:lang w:eastAsia="zh-CN"/>
        </w:rPr>
        <w:t>-</w:t>
      </w:r>
      <w:r>
        <w:rPr>
          <w:rFonts w:hint="eastAsia" w:eastAsia="仿宋_GB2312" w:cs="仿宋_GB2312"/>
          <w:snapToGrid w:val="0"/>
          <w:kern w:val="0"/>
          <w:sz w:val="32"/>
          <w:szCs w:val="32"/>
          <w:lang w:eastAsia="zh-CN"/>
        </w:rPr>
        <w:t>手术室感染控制用品</w:t>
      </w:r>
      <w:r>
        <w:rPr>
          <w:rFonts w:hint="eastAsia" w:ascii="Times New Roman" w:hAnsi="Times New Roman" w:eastAsia="仿宋_GB2312" w:cs="仿宋_GB2312"/>
          <w:snapToGrid w:val="0"/>
          <w:kern w:val="0"/>
          <w:sz w:val="32"/>
          <w:szCs w:val="32"/>
          <w:lang w:eastAsia="zh-CN"/>
        </w:rPr>
        <w:t>，二级产品类别</w:t>
      </w:r>
      <w:r>
        <w:rPr>
          <w:rFonts w:hint="eastAsia" w:eastAsia="仿宋_GB2312" w:cs="仿宋_GB2312"/>
          <w:snapToGrid w:val="0"/>
          <w:kern w:val="0"/>
          <w:sz w:val="32"/>
          <w:szCs w:val="32"/>
          <w:lang w:val="en-US" w:eastAsia="zh-CN"/>
        </w:rPr>
        <w:t>05</w:t>
      </w:r>
      <w:r>
        <w:rPr>
          <w:rFonts w:hint="eastAsia" w:ascii="Times New Roman" w:hAnsi="Times New Roman" w:eastAsia="仿宋_GB2312" w:cs="仿宋_GB2312"/>
          <w:snapToGrid w:val="0"/>
          <w:kern w:val="0"/>
          <w:sz w:val="32"/>
          <w:szCs w:val="32"/>
          <w:lang w:eastAsia="zh-CN"/>
        </w:rPr>
        <w:t>-</w:t>
      </w:r>
      <w:r>
        <w:rPr>
          <w:rFonts w:hint="eastAsia" w:eastAsia="仿宋_GB2312" w:cs="仿宋_GB2312"/>
          <w:snapToGrid w:val="0"/>
          <w:kern w:val="0"/>
          <w:sz w:val="32"/>
          <w:szCs w:val="32"/>
          <w:lang w:eastAsia="zh-CN"/>
        </w:rPr>
        <w:t>手术室用衣帽</w:t>
      </w:r>
      <w:r>
        <w:rPr>
          <w:rFonts w:hint="eastAsia" w:ascii="Times New Roman" w:hAnsi="Times New Roman" w:eastAsia="仿宋_GB2312" w:cs="仿宋_GB2312"/>
          <w:snapToGrid w:val="0"/>
          <w:kern w:val="0"/>
          <w:sz w:val="32"/>
          <w:szCs w:val="32"/>
          <w:lang w:eastAsia="zh-CN"/>
        </w:rPr>
        <w:t>。申报产品按第二类医疗器械管理。</w:t>
      </w:r>
    </w:p>
    <w:p>
      <w:pPr>
        <w:pStyle w:val="4"/>
        <w:bidi w:val="0"/>
        <w:rPr>
          <w:rFonts w:hint="default"/>
          <w:lang w:val="en-US" w:eastAsia="zh-CN"/>
        </w:rPr>
      </w:pPr>
      <w:r>
        <w:rPr>
          <w:rFonts w:hint="eastAsia"/>
          <w:lang w:val="en-US" w:eastAsia="zh-CN"/>
        </w:rPr>
        <w:t>3.注册单元划分</w:t>
      </w:r>
    </w:p>
    <w:p>
      <w:pPr>
        <w:keepNext w:val="0"/>
        <w:keepLines w:val="0"/>
        <w:pageBreakBefore w:val="0"/>
        <w:widowControl w:val="0"/>
        <w:kinsoku/>
        <w:wordWrap/>
        <w:overflowPunct w:val="0"/>
        <w:topLinePunct w:val="0"/>
        <w:autoSpaceDE w:val="0"/>
        <w:autoSpaceDN w:val="0"/>
        <w:bidi w:val="0"/>
        <w:adjustRightInd/>
        <w:snapToGrid/>
        <w:spacing w:line="520" w:lineRule="exact"/>
        <w:ind w:firstLine="640" w:firstLineChars="200"/>
        <w:textAlignment w:val="auto"/>
        <w:rPr>
          <w:rFonts w:hint="eastAsia" w:ascii="Times New Roman" w:hAnsi="Times New Roman" w:eastAsia="仿宋_GB2312" w:cs="仿宋_GB2312"/>
          <w:snapToGrid w:val="0"/>
          <w:kern w:val="0"/>
          <w:sz w:val="32"/>
          <w:szCs w:val="32"/>
          <w:lang w:val="en-US" w:eastAsia="zh-CN"/>
        </w:rPr>
      </w:pPr>
      <w:r>
        <w:rPr>
          <w:rFonts w:hint="eastAsia" w:ascii="Times New Roman" w:hAnsi="Times New Roman" w:eastAsia="仿宋_GB2312" w:cs="仿宋_GB2312"/>
          <w:snapToGrid w:val="0"/>
          <w:kern w:val="0"/>
          <w:sz w:val="32"/>
          <w:szCs w:val="32"/>
          <w:lang w:val="en-US" w:eastAsia="zh-CN"/>
        </w:rPr>
        <w:t>注册单元的划分应参照《总局关于发布医疗器械注册单元划分指导原则的通告》，以产品的技术原理、结构组成、性能指标和适用范围等因素为划分依据。</w:t>
      </w:r>
    </w:p>
    <w:p>
      <w:pPr>
        <w:pStyle w:val="4"/>
        <w:bidi w:val="0"/>
        <w:rPr>
          <w:rFonts w:hint="eastAsia"/>
          <w:lang w:val="en-US" w:eastAsia="zh-CN"/>
        </w:rPr>
      </w:pPr>
      <w:r>
        <w:rPr>
          <w:rFonts w:hint="eastAsia"/>
          <w:lang w:val="en-US" w:eastAsia="zh-CN"/>
        </w:rPr>
        <w:t>4.型号规格</w:t>
      </w:r>
    </w:p>
    <w:p>
      <w:pPr>
        <w:overflowPunct w:val="0"/>
        <w:autoSpaceDE w:val="0"/>
        <w:autoSpaceDN w:val="0"/>
        <w:spacing w:line="540" w:lineRule="exact"/>
        <w:ind w:firstLine="640" w:firstLineChars="200"/>
        <w:rPr>
          <w:rFonts w:hint="eastAsia" w:eastAsia="仿宋_GB2312"/>
          <w:snapToGrid w:val="0"/>
          <w:kern w:val="0"/>
          <w:sz w:val="32"/>
          <w:szCs w:val="32"/>
        </w:rPr>
      </w:pPr>
      <w:r>
        <w:rPr>
          <w:rFonts w:hint="eastAsia" w:eastAsia="仿宋_GB2312"/>
          <w:snapToGrid w:val="0"/>
          <w:kern w:val="0"/>
          <w:sz w:val="32"/>
          <w:szCs w:val="32"/>
        </w:rPr>
        <w:t>应明确申报产品的型号规格。</w:t>
      </w:r>
    </w:p>
    <w:p>
      <w:pPr>
        <w:pStyle w:val="4"/>
        <w:bidi w:val="0"/>
        <w:rPr>
          <w:rFonts w:hint="default"/>
          <w:lang w:val="en-US" w:eastAsia="zh-CN"/>
        </w:rPr>
      </w:pPr>
      <w:r>
        <w:rPr>
          <w:rFonts w:hint="eastAsia"/>
          <w:lang w:val="en-US" w:eastAsia="zh-CN"/>
        </w:rPr>
        <w:t>5.结构及组成</w:t>
      </w:r>
    </w:p>
    <w:p>
      <w:pPr>
        <w:keepNext w:val="0"/>
        <w:keepLines w:val="0"/>
        <w:pageBreakBefore w:val="0"/>
        <w:widowControl w:val="0"/>
        <w:kinsoku/>
        <w:wordWrap/>
        <w:overflowPunct w:val="0"/>
        <w:topLinePunct w:val="0"/>
        <w:autoSpaceDE w:val="0"/>
        <w:autoSpaceDN w:val="0"/>
        <w:bidi w:val="0"/>
        <w:adjustRightInd/>
        <w:snapToGrid/>
        <w:spacing w:line="520" w:lineRule="exact"/>
        <w:ind w:firstLine="640" w:firstLineChars="200"/>
        <w:textAlignment w:val="auto"/>
        <w:rPr>
          <w:rFonts w:hint="eastAsia" w:ascii="仿宋" w:hAnsi="仿宋" w:eastAsia="仿宋" w:cs="仿宋"/>
          <w:color w:val="FF0000"/>
          <w:sz w:val="32"/>
          <w:szCs w:val="32"/>
          <w:lang w:val="en-US" w:eastAsia="zh-CN"/>
        </w:rPr>
      </w:pPr>
      <w:r>
        <w:rPr>
          <w:rFonts w:hint="eastAsia" w:eastAsia="仿宋_GB2312"/>
          <w:snapToGrid w:val="0"/>
          <w:kern w:val="0"/>
          <w:sz w:val="32"/>
          <w:szCs w:val="32"/>
        </w:rPr>
        <w:t>结构组成中部件名称应规范。各项文件中结构及组成应一致，产品部件编号顺序应一致。</w:t>
      </w:r>
    </w:p>
    <w:p>
      <w:pPr>
        <w:pStyle w:val="3"/>
        <w:bidi w:val="0"/>
        <w:rPr>
          <w:rFonts w:hint="eastAsia"/>
          <w:lang w:val="en-US" w:eastAsia="zh-CN"/>
        </w:rPr>
      </w:pPr>
      <w:r>
        <w:rPr>
          <w:rFonts w:hint="eastAsia"/>
          <w:lang w:eastAsia="zh-CN"/>
        </w:rPr>
        <w:t>（二）综述资料</w:t>
      </w:r>
    </w:p>
    <w:p>
      <w:pPr>
        <w:pStyle w:val="4"/>
        <w:keepNext w:val="0"/>
        <w:keepLines w:val="0"/>
        <w:pageBreakBefore w:val="0"/>
        <w:widowControl w:val="0"/>
        <w:kinsoku/>
        <w:wordWrap/>
        <w:topLinePunct w:val="0"/>
        <w:bidi w:val="0"/>
        <w:adjustRightInd/>
        <w:snapToGrid/>
        <w:spacing w:line="520" w:lineRule="exact"/>
        <w:textAlignment w:val="auto"/>
        <w:rPr>
          <w:rFonts w:hint="default"/>
          <w:lang w:val="en-US" w:eastAsia="zh-CN"/>
        </w:rPr>
      </w:pPr>
      <w:r>
        <w:rPr>
          <w:rFonts w:hint="eastAsia"/>
          <w:lang w:val="en-US" w:eastAsia="zh-CN"/>
        </w:rPr>
        <w:t>1.产品分类</w:t>
      </w:r>
    </w:p>
    <w:p>
      <w:pPr>
        <w:keepNext w:val="0"/>
        <w:keepLines w:val="0"/>
        <w:pageBreakBefore w:val="0"/>
        <w:widowControl w:val="0"/>
        <w:numPr>
          <w:ilvl w:val="-1"/>
          <w:numId w:val="0"/>
        </w:numPr>
        <w:kinsoku/>
        <w:wordWrap/>
        <w:topLinePunct w:val="0"/>
        <w:bidi w:val="0"/>
        <w:adjustRightInd/>
        <w:snapToGrid/>
        <w:spacing w:line="520" w:lineRule="exact"/>
        <w:ind w:firstLine="640" w:firstLineChars="200"/>
        <w:textAlignment w:val="auto"/>
        <w:rPr>
          <w:rFonts w:hint="eastAsia" w:eastAsia="仿宋_GB2312"/>
          <w:snapToGrid w:val="0"/>
          <w:kern w:val="0"/>
          <w:sz w:val="32"/>
          <w:szCs w:val="32"/>
          <w:lang w:eastAsia="zh-CN"/>
        </w:rPr>
      </w:pPr>
      <w:r>
        <w:rPr>
          <w:rFonts w:hint="eastAsia" w:eastAsia="仿宋_GB2312"/>
          <w:snapToGrid w:val="0"/>
          <w:kern w:val="0"/>
          <w:sz w:val="32"/>
          <w:szCs w:val="32"/>
        </w:rPr>
        <w:t>申请人应描述本申报产品分类，如产品结构类型；预期使用环境</w:t>
      </w:r>
      <w:r>
        <w:rPr>
          <w:rFonts w:hint="eastAsia" w:eastAsia="仿宋_GB2312"/>
          <w:snapToGrid w:val="0"/>
          <w:kern w:val="0"/>
          <w:sz w:val="32"/>
          <w:szCs w:val="32"/>
          <w:lang w:eastAsia="zh-CN"/>
        </w:rPr>
        <w:t>等。</w:t>
      </w:r>
    </w:p>
    <w:p>
      <w:pPr>
        <w:pStyle w:val="4"/>
        <w:keepNext w:val="0"/>
        <w:keepLines w:val="0"/>
        <w:pageBreakBefore w:val="0"/>
        <w:widowControl w:val="0"/>
        <w:kinsoku/>
        <w:wordWrap/>
        <w:topLinePunct w:val="0"/>
        <w:bidi w:val="0"/>
        <w:adjustRightInd/>
        <w:snapToGrid/>
        <w:spacing w:line="520" w:lineRule="exact"/>
        <w:textAlignment w:val="auto"/>
        <w:rPr>
          <w:rFonts w:hint="eastAsia"/>
          <w:lang w:val="en-US" w:eastAsia="zh-CN"/>
        </w:rPr>
      </w:pPr>
      <w:r>
        <w:rPr>
          <w:rFonts w:hint="eastAsia"/>
          <w:lang w:val="en-US" w:eastAsia="zh-CN"/>
        </w:rPr>
        <w:t>2.工作原理</w:t>
      </w:r>
    </w:p>
    <w:p>
      <w:pPr>
        <w:keepNext w:val="0"/>
        <w:keepLines w:val="0"/>
        <w:pageBreakBefore w:val="0"/>
        <w:widowControl w:val="0"/>
        <w:numPr>
          <w:ilvl w:val="0"/>
          <w:numId w:val="0"/>
        </w:numPr>
        <w:kinsoku/>
        <w:wordWrap/>
        <w:topLinePunct w:val="0"/>
        <w:bidi w:val="0"/>
        <w:adjustRightInd/>
        <w:snapToGrid/>
        <w:spacing w:line="520" w:lineRule="exact"/>
        <w:ind w:firstLine="640" w:firstLineChars="200"/>
        <w:textAlignment w:val="auto"/>
        <w:rPr>
          <w:rFonts w:hint="eastAsia" w:eastAsia="仿宋_GB2312"/>
          <w:snapToGrid w:val="0"/>
          <w:kern w:val="0"/>
          <w:sz w:val="32"/>
          <w:szCs w:val="32"/>
          <w:lang w:eastAsia="zh-CN"/>
        </w:rPr>
      </w:pPr>
      <w:r>
        <w:rPr>
          <w:rFonts w:eastAsia="仿宋_GB2312"/>
          <w:snapToGrid w:val="0"/>
          <w:kern w:val="0"/>
          <w:sz w:val="32"/>
          <w:szCs w:val="32"/>
        </w:rPr>
        <w:t>应详述</w:t>
      </w:r>
      <w:r>
        <w:rPr>
          <w:rFonts w:hint="eastAsia" w:eastAsia="仿宋_GB2312"/>
          <w:snapToGrid w:val="0"/>
          <w:kern w:val="0"/>
          <w:sz w:val="32"/>
          <w:szCs w:val="32"/>
          <w:lang w:eastAsia="zh-CN"/>
        </w:rPr>
        <w:t>一次性使用手术帽</w:t>
      </w:r>
      <w:r>
        <w:rPr>
          <w:rFonts w:eastAsia="仿宋_GB2312"/>
          <w:snapToGrid w:val="0"/>
          <w:kern w:val="0"/>
          <w:sz w:val="32"/>
          <w:szCs w:val="32"/>
        </w:rPr>
        <w:t>的工作原理</w:t>
      </w:r>
      <w:r>
        <w:rPr>
          <w:rFonts w:hint="eastAsia" w:eastAsia="仿宋_GB2312"/>
          <w:snapToGrid w:val="0"/>
          <w:kern w:val="0"/>
          <w:sz w:val="32"/>
          <w:szCs w:val="32"/>
          <w:lang w:eastAsia="zh-CN"/>
        </w:rPr>
        <w:t>。</w:t>
      </w:r>
    </w:p>
    <w:p>
      <w:pPr>
        <w:pStyle w:val="4"/>
        <w:keepNext w:val="0"/>
        <w:keepLines w:val="0"/>
        <w:pageBreakBefore w:val="0"/>
        <w:widowControl w:val="0"/>
        <w:kinsoku/>
        <w:wordWrap/>
        <w:topLinePunct w:val="0"/>
        <w:bidi w:val="0"/>
        <w:adjustRightInd/>
        <w:snapToGrid/>
        <w:spacing w:line="520" w:lineRule="exact"/>
        <w:textAlignment w:val="auto"/>
        <w:rPr>
          <w:rFonts w:hint="eastAsia"/>
          <w:lang w:val="en-US" w:eastAsia="zh-CN"/>
        </w:rPr>
      </w:pPr>
      <w:r>
        <w:rPr>
          <w:rFonts w:hint="eastAsia"/>
          <w:lang w:val="en-US" w:eastAsia="zh-CN"/>
        </w:rPr>
        <w:t>3.结构组成</w:t>
      </w:r>
    </w:p>
    <w:p>
      <w:pPr>
        <w:keepNext w:val="0"/>
        <w:keepLines w:val="0"/>
        <w:pageBreakBefore w:val="0"/>
        <w:widowControl w:val="0"/>
        <w:kinsoku/>
        <w:wordWrap/>
        <w:overflowPunct w:val="0"/>
        <w:topLinePunct w:val="0"/>
        <w:autoSpaceDE w:val="0"/>
        <w:autoSpaceDN w:val="0"/>
        <w:bidi w:val="0"/>
        <w:adjustRightInd/>
        <w:snapToGrid/>
        <w:spacing w:line="520" w:lineRule="exact"/>
        <w:ind w:firstLine="640" w:firstLineChars="200"/>
        <w:textAlignment w:val="auto"/>
        <w:rPr>
          <w:rFonts w:hint="eastAsia" w:ascii="Times New Roman" w:hAnsi="Times New Roman" w:eastAsia="仿宋_GB2312" w:cs="仿宋_GB2312"/>
          <w:snapToGrid w:val="0"/>
          <w:kern w:val="0"/>
          <w:sz w:val="32"/>
          <w:szCs w:val="32"/>
          <w:lang w:val="en-US" w:eastAsia="zh-CN"/>
        </w:rPr>
      </w:pPr>
      <w:r>
        <w:rPr>
          <w:rFonts w:hint="eastAsia" w:ascii="Times New Roman" w:hAnsi="Times New Roman" w:eastAsia="仿宋_GB2312" w:cs="仿宋_GB2312"/>
          <w:snapToGrid w:val="0"/>
          <w:kern w:val="0"/>
          <w:sz w:val="32"/>
          <w:szCs w:val="32"/>
          <w:lang w:val="en-US" w:eastAsia="zh-CN"/>
        </w:rPr>
        <w:t>一次性使用手术帽通常由具有一定防护特性的无纺布或覆膜无纺布复合材料制成。根据产品结构不同，常见可分为弹性收口型</w:t>
      </w:r>
      <w:r>
        <w:rPr>
          <w:rFonts w:hint="eastAsia" w:eastAsia="仿宋_GB2312" w:cs="仿宋_GB2312"/>
          <w:snapToGrid w:val="0"/>
          <w:kern w:val="0"/>
          <w:sz w:val="32"/>
          <w:szCs w:val="32"/>
          <w:lang w:val="en-US" w:eastAsia="zh-CN"/>
        </w:rPr>
        <w:t>（图1）</w:t>
      </w:r>
      <w:r>
        <w:rPr>
          <w:rFonts w:hint="eastAsia" w:ascii="Times New Roman" w:hAnsi="Times New Roman" w:eastAsia="仿宋_GB2312" w:cs="仿宋_GB2312"/>
          <w:snapToGrid w:val="0"/>
          <w:kern w:val="0"/>
          <w:sz w:val="32"/>
          <w:szCs w:val="32"/>
          <w:lang w:val="en-US" w:eastAsia="zh-CN"/>
        </w:rPr>
        <w:t>、折裥型（条型）</w:t>
      </w:r>
      <w:r>
        <w:rPr>
          <w:rFonts w:hint="eastAsia" w:eastAsia="仿宋_GB2312" w:cs="仿宋_GB2312"/>
          <w:snapToGrid w:val="0"/>
          <w:kern w:val="0"/>
          <w:sz w:val="32"/>
          <w:szCs w:val="32"/>
          <w:lang w:val="en-US" w:eastAsia="zh-CN"/>
        </w:rPr>
        <w:t>（图2）</w:t>
      </w:r>
      <w:r>
        <w:rPr>
          <w:rFonts w:hint="eastAsia" w:ascii="Times New Roman" w:hAnsi="Times New Roman" w:eastAsia="仿宋_GB2312" w:cs="仿宋_GB2312"/>
          <w:snapToGrid w:val="0"/>
          <w:kern w:val="0"/>
          <w:sz w:val="32"/>
          <w:szCs w:val="32"/>
          <w:lang w:val="en-US" w:eastAsia="zh-CN"/>
        </w:rPr>
        <w:t>和系带型</w:t>
      </w:r>
      <w:r>
        <w:rPr>
          <w:rFonts w:hint="eastAsia" w:eastAsia="仿宋_GB2312" w:cs="仿宋_GB2312"/>
          <w:snapToGrid w:val="0"/>
          <w:kern w:val="0"/>
          <w:sz w:val="32"/>
          <w:szCs w:val="32"/>
          <w:lang w:val="en-US" w:eastAsia="zh-CN"/>
        </w:rPr>
        <w:t>（图3），也可根据实际临床需求设计为不同形状。</w:t>
      </w:r>
    </w:p>
    <w:p>
      <w:pPr>
        <w:keepNext w:val="0"/>
        <w:keepLines w:val="0"/>
        <w:pageBreakBefore w:val="0"/>
        <w:widowControl w:val="0"/>
        <w:kinsoku/>
        <w:wordWrap/>
        <w:overflowPunct w:val="0"/>
        <w:topLinePunct w:val="0"/>
        <w:autoSpaceDE w:val="0"/>
        <w:autoSpaceDN w:val="0"/>
        <w:bidi w:val="0"/>
        <w:adjustRightInd/>
        <w:snapToGrid/>
        <w:spacing w:line="520" w:lineRule="exact"/>
        <w:ind w:firstLine="640" w:firstLineChars="200"/>
        <w:textAlignment w:val="auto"/>
        <w:rPr>
          <w:rFonts w:hint="eastAsia" w:ascii="Times New Roman" w:hAnsi="Times New Roman" w:eastAsia="仿宋_GB2312" w:cs="仿宋_GB2312"/>
          <w:snapToGrid w:val="0"/>
          <w:kern w:val="0"/>
          <w:sz w:val="32"/>
          <w:szCs w:val="32"/>
          <w:lang w:val="en-US" w:eastAsia="zh-CN"/>
        </w:rPr>
      </w:pPr>
      <w:r>
        <w:rPr>
          <w:rFonts w:hint="eastAsia" w:ascii="Times New Roman" w:hAnsi="Times New Roman" w:eastAsia="仿宋_GB2312" w:cs="仿宋_GB2312"/>
          <w:snapToGrid w:val="0"/>
          <w:kern w:val="0"/>
          <w:sz w:val="32"/>
          <w:szCs w:val="32"/>
          <w:lang w:val="en-US" w:eastAsia="zh-CN"/>
        </w:rPr>
        <w:t>用来制作一次性使用手术帽的无纺布材料通常包括聚丙烯纺粘无纺布、纺粘＋熔喷＋纺粘复合无纺布（SMS复合无纺布）等，覆膜材料通常包括聚乙烯(PE)等。申请人应在申报资料中明确产品的所有原材料。</w:t>
      </w:r>
    </w:p>
    <w:p>
      <w:pPr>
        <w:keepNext w:val="0"/>
        <w:keepLines w:val="0"/>
        <w:pageBreakBefore w:val="0"/>
        <w:widowControl w:val="0"/>
        <w:kinsoku/>
        <w:wordWrap/>
        <w:overflowPunct w:val="0"/>
        <w:topLinePunct w:val="0"/>
        <w:autoSpaceDE w:val="0"/>
        <w:autoSpaceDN w:val="0"/>
        <w:bidi w:val="0"/>
        <w:adjustRightInd/>
        <w:snapToGrid/>
        <w:spacing w:line="520" w:lineRule="exact"/>
        <w:textAlignment w:val="auto"/>
        <w:rPr>
          <w:rFonts w:hint="eastAsia" w:ascii="Times New Roman" w:hAnsi="Times New Roman" w:eastAsia="仿宋_GB2312" w:cs="仿宋_GB2312"/>
          <w:snapToGrid w:val="0"/>
          <w:kern w:val="0"/>
          <w:sz w:val="32"/>
          <w:szCs w:val="32"/>
          <w:lang w:val="en-US" w:eastAsia="zh-CN"/>
        </w:rPr>
      </w:pPr>
    </w:p>
    <w:p>
      <w:pPr>
        <w:numPr>
          <w:ilvl w:val="-1"/>
          <w:numId w:val="0"/>
        </w:numPr>
        <w:adjustRightInd w:val="0"/>
        <w:spacing w:line="540" w:lineRule="exact"/>
        <w:ind w:firstLine="420" w:firstLineChars="200"/>
        <w:rPr>
          <w:rFonts w:hint="eastAsia" w:ascii="仿宋" w:hAnsi="仿宋" w:eastAsia="仿宋" w:cs="仿宋"/>
          <w:color w:val="FF0000"/>
          <w:sz w:val="32"/>
          <w:szCs w:val="32"/>
          <w:lang w:val="en-US" w:eastAsia="zh-CN"/>
        </w:rPr>
      </w:pPr>
      <w:r>
        <w:rPr>
          <w:sz w:val="21"/>
        </w:rPr>
        <w:pict>
          <v:group id="_x0000_s1079" o:spid="_x0000_s1079" o:spt="203" style="position:absolute;left:0pt;margin-left:48.9pt;margin-top:1.25pt;height:180.8pt;width:345.8pt;z-index:251659264;mso-width-relative:page;mso-height-relative:page;" coordorigin="4583,40138" coordsize="6916,3616">
            <o:lock v:ext="edit" aspectratio="f"/>
            <v:group id="组合 8" o:spid="_x0000_s1080" o:spt="203" style="position:absolute;left:4583;top:40138;height:2552;width:6917;" coordorigin="217,297" coordsize="6917,2552">
              <o:lock v:ext="edit" aspectratio="f"/>
              <v:shape id="图片 1" o:spid="_x0000_s1081" o:spt="75" alt="C:/Users/Administrator/AppData/Local/Temp/picturecompress_20210824161105/output_1.jpgoutput_1" type="#_x0000_t75" style="position:absolute;left:217;top:297;height:2552;width:3402;" filled="f" o:preferrelative="t" stroked="f" coordsize="21600,21600" o:gfxdata="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glxxugAAANoA&#10;AAAPAAAAAAAAAAEAIAAAACIAAABkcnMvZG93bnJldi54bWxQSwECFAAUAAAACACHTuJAMy8FnjsA&#10;AAA5AAAAEAAAAAAAAAABACAAAAAJAQAAZHJzL3NoYXBleG1sLnhtbFBLBQYAAAAABgAGAFsBAACz&#10;AwAAAAA=&#10;">
                <v:path/>
                <v:fill on="f" focussize="0,0"/>
                <v:stroke on="f"/>
                <v:imagedata r:id="rId8" o:title=""/>
                <o:lock v:ext="edit" aspectratio="t"/>
              </v:shape>
              <v:shape id="图片 3" o:spid="_x0000_s1082" o:spt="75" alt="弹性收口型1" type="#_x0000_t75" style="position:absolute;left:3732;top:297;height:2508;width:3402;rotation:11796480f;" filled="f" o:preferrelative="t" stroked="f" coordsize="21600,21600" o:gfxdata="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UBVEe5AAAA2gAA&#10;AA8AAAAAAAAAAQAgAAAAIgAAAGRycy9kb3ducmV2LnhtbFBLAQIUABQAAAAIAIdO4kAzLwWeOwAA&#10;ADkAAAAQAAAAAAAAAAEAIAAAAAgBAABkcnMvc2hhcGV4bWwueG1sUEsFBgAAAAAGAAYAWwEAALID&#10;AAAAAA==&#10;">
                <v:path/>
                <v:fill on="f" focussize="0,0"/>
                <v:stroke on="f"/>
                <v:imagedata r:id="rId9" o:title=""/>
                <o:lock v:ext="edit" aspectratio="t"/>
              </v:shape>
            </v:group>
            <v:shape id="文本框 11" o:spid="_x0000_s1083" o:spt="202" type="#_x0000_t202" style="position:absolute;left:7104;top:42986;height:768;width:2318;" filled="f" stroked="f" coordsize="21600,21600">
              <v:path/>
              <v:fill on="f" focussize="0,0"/>
              <v:stroke on="f"/>
              <v:imagedata o:title=""/>
              <o:lock v:ext="edit" aspectratio="f"/>
              <v:textbox style="mso-fit-shape-to-text:t;">
                <w:txbxContent>
                  <w:p>
                    <w:pPr>
                      <w:pStyle w:val="30"/>
                      <w:numPr>
                        <w:ilvl w:val="0"/>
                        <w:numId w:val="0"/>
                      </w:numPr>
                      <w:kinsoku/>
                      <w:spacing w:line="240" w:lineRule="auto"/>
                      <w:jc w:val="left"/>
                      <w:textAlignment w:val="baseline"/>
                      <w:rPr>
                        <w:rFonts w:hint="eastAsia" w:ascii="黑体" w:hAnsi="黑体" w:eastAsia="黑体" w:cs="黑体"/>
                        <w:sz w:val="28"/>
                        <w:szCs w:val="28"/>
                      </w:rPr>
                    </w:pPr>
                    <w:r>
                      <w:rPr>
                        <w:rFonts w:hint="eastAsia" w:ascii="黑体" w:hAnsi="黑体" w:eastAsia="黑体" w:cs="黑体"/>
                        <w:color w:val="000000" w:themeColor="text1"/>
                        <w:kern w:val="24"/>
                        <w:sz w:val="28"/>
                        <w:szCs w:val="28"/>
                        <w:lang w:eastAsia="zh-CN"/>
                      </w:rPr>
                      <w:t>图</w:t>
                    </w:r>
                    <w:r>
                      <w:rPr>
                        <w:rFonts w:hint="eastAsia" w:ascii="黑体" w:hAnsi="黑体" w:eastAsia="黑体" w:cs="黑体"/>
                        <w:color w:val="000000" w:themeColor="text1"/>
                        <w:kern w:val="24"/>
                        <w:sz w:val="28"/>
                        <w:szCs w:val="28"/>
                        <w:lang w:val="en-US" w:eastAsia="zh-CN"/>
                      </w:rPr>
                      <w:t>1</w:t>
                    </w:r>
                    <w:r>
                      <w:rPr>
                        <w:rFonts w:hint="eastAsia" w:ascii="黑体" w:hAnsi="黑体" w:eastAsia="黑体" w:cs="黑体"/>
                        <w:color w:val="000000" w:themeColor="text1"/>
                        <w:kern w:val="24"/>
                        <w:sz w:val="28"/>
                        <w:szCs w:val="28"/>
                      </w:rPr>
                      <w:t>弹性收口型</w:t>
                    </w:r>
                  </w:p>
                </w:txbxContent>
              </v:textbox>
            </v:shape>
          </v:group>
        </w:pict>
      </w:r>
    </w:p>
    <w:p>
      <w:pPr>
        <w:numPr>
          <w:ilvl w:val="-1"/>
          <w:numId w:val="0"/>
        </w:numPr>
        <w:adjustRightInd w:val="0"/>
        <w:spacing w:line="540" w:lineRule="exact"/>
        <w:ind w:firstLine="640" w:firstLineChars="200"/>
        <w:rPr>
          <w:rFonts w:hint="eastAsia" w:ascii="仿宋" w:hAnsi="仿宋" w:eastAsia="仿宋" w:cs="仿宋"/>
          <w:color w:val="FF0000"/>
          <w:sz w:val="32"/>
          <w:szCs w:val="32"/>
          <w:lang w:val="en-US" w:eastAsia="zh-CN"/>
        </w:rPr>
      </w:pPr>
    </w:p>
    <w:p>
      <w:pPr>
        <w:numPr>
          <w:ilvl w:val="-1"/>
          <w:numId w:val="0"/>
        </w:numPr>
        <w:adjustRightInd w:val="0"/>
        <w:spacing w:line="540" w:lineRule="exact"/>
        <w:ind w:firstLine="640" w:firstLineChars="200"/>
        <w:rPr>
          <w:rFonts w:hint="eastAsia" w:ascii="仿宋" w:hAnsi="仿宋" w:eastAsia="仿宋" w:cs="仿宋"/>
          <w:color w:val="FF0000"/>
          <w:sz w:val="32"/>
          <w:szCs w:val="32"/>
          <w:lang w:val="en-US" w:eastAsia="zh-CN"/>
        </w:rPr>
      </w:pPr>
    </w:p>
    <w:p>
      <w:pPr>
        <w:numPr>
          <w:ilvl w:val="-1"/>
          <w:numId w:val="0"/>
        </w:numPr>
        <w:adjustRightInd w:val="0"/>
        <w:spacing w:line="540" w:lineRule="exact"/>
        <w:ind w:firstLine="640" w:firstLineChars="200"/>
        <w:rPr>
          <w:rFonts w:hint="eastAsia" w:ascii="仿宋" w:hAnsi="仿宋" w:eastAsia="仿宋" w:cs="仿宋"/>
          <w:color w:val="FF0000"/>
          <w:sz w:val="32"/>
          <w:szCs w:val="32"/>
          <w:lang w:val="en-US" w:eastAsia="zh-CN"/>
        </w:rPr>
      </w:pPr>
    </w:p>
    <w:p>
      <w:pPr>
        <w:numPr>
          <w:ilvl w:val="-1"/>
          <w:numId w:val="0"/>
        </w:numPr>
        <w:adjustRightInd w:val="0"/>
        <w:spacing w:line="540" w:lineRule="exact"/>
        <w:ind w:firstLine="640" w:firstLineChars="200"/>
        <w:rPr>
          <w:rFonts w:hint="eastAsia" w:ascii="仿宋" w:hAnsi="仿宋" w:eastAsia="仿宋" w:cs="仿宋"/>
          <w:color w:val="FF0000"/>
          <w:sz w:val="32"/>
          <w:szCs w:val="32"/>
          <w:lang w:val="en-US" w:eastAsia="zh-CN"/>
        </w:rPr>
      </w:pPr>
    </w:p>
    <w:p>
      <w:pPr>
        <w:numPr>
          <w:ilvl w:val="-1"/>
          <w:numId w:val="0"/>
        </w:numPr>
        <w:adjustRightInd w:val="0"/>
        <w:spacing w:line="540" w:lineRule="exact"/>
        <w:ind w:firstLine="640" w:firstLineChars="200"/>
        <w:rPr>
          <w:rFonts w:hint="eastAsia" w:ascii="仿宋" w:hAnsi="仿宋" w:eastAsia="仿宋" w:cs="仿宋"/>
          <w:color w:val="FF0000"/>
          <w:sz w:val="32"/>
          <w:szCs w:val="32"/>
          <w:lang w:val="en-US" w:eastAsia="zh-CN"/>
        </w:rPr>
      </w:pPr>
    </w:p>
    <w:p>
      <w:pPr>
        <w:numPr>
          <w:ilvl w:val="-1"/>
          <w:numId w:val="0"/>
        </w:numPr>
        <w:adjustRightInd w:val="0"/>
        <w:spacing w:line="540" w:lineRule="exact"/>
        <w:rPr>
          <w:rFonts w:hint="eastAsia" w:ascii="仿宋" w:hAnsi="仿宋" w:eastAsia="仿宋" w:cs="仿宋"/>
          <w:color w:val="FF0000"/>
          <w:sz w:val="32"/>
          <w:szCs w:val="32"/>
          <w:lang w:val="en-US" w:eastAsia="zh-CN"/>
        </w:rPr>
      </w:pPr>
    </w:p>
    <w:p>
      <w:pPr>
        <w:numPr>
          <w:ilvl w:val="-1"/>
          <w:numId w:val="0"/>
        </w:numPr>
        <w:adjustRightInd w:val="0"/>
        <w:spacing w:line="540" w:lineRule="exact"/>
        <w:rPr>
          <w:rFonts w:hint="eastAsia" w:ascii="仿宋" w:hAnsi="仿宋" w:eastAsia="仿宋" w:cs="仿宋"/>
          <w:color w:val="FF0000"/>
          <w:sz w:val="32"/>
          <w:szCs w:val="32"/>
          <w:lang w:val="en-US" w:eastAsia="zh-CN"/>
        </w:rPr>
      </w:pPr>
    </w:p>
    <w:p>
      <w:pPr>
        <w:numPr>
          <w:ilvl w:val="-1"/>
          <w:numId w:val="0"/>
        </w:numPr>
        <w:adjustRightInd w:val="0"/>
        <w:spacing w:line="540" w:lineRule="exact"/>
        <w:rPr>
          <w:rFonts w:hint="eastAsia" w:ascii="仿宋" w:hAnsi="仿宋" w:eastAsia="仿宋" w:cs="仿宋"/>
          <w:color w:val="FF0000"/>
          <w:sz w:val="32"/>
          <w:szCs w:val="32"/>
          <w:lang w:val="en-US" w:eastAsia="zh-CN"/>
        </w:rPr>
      </w:pPr>
      <w:r>
        <w:rPr>
          <w:sz w:val="21"/>
        </w:rPr>
        <w:pict>
          <v:group id="_x0000_s1084" o:spid="_x0000_s1084" o:spt="203" style="position:absolute;left:0pt;margin-left:47.2pt;margin-top:16.8pt;height:180pt;width:343pt;z-index:251661312;mso-width-relative:page;mso-height-relative:page;" coordorigin="4649,44229" coordsize="6860,3600">
            <o:lock v:ext="edit" aspectratio="f"/>
            <v:group id="组合 9" o:spid="_x0000_s1085" o:spt="203" style="position:absolute;left:4649;top:44229;height:2551;width:6860;" coordorigin="623,4947" coordsize="6860,2551">
              <o:lock v:ext="edit" aspectratio="f"/>
              <v:shape id="图片 2" o:spid="_x0000_s1086" o:spt="75" alt="微信图片_20210824144836" type="#_x0000_t75" style="position:absolute;left:623;top:4947;height:2551;width:3486;" filled="f" o:preferrelative="t" stroked="f" coordsize="21600,21600" o:gfxdata="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Vvf+LsAAADa&#10;AAAADwAAAAAAAAABACAAAAAiAAAAZHJzL2Rvd25yZXYueG1sUEsBAhQAFAAAAAgAh07iQDMvBZ47&#10;AAAAOQAAABAAAAAAAAAAAQAgAAAACgEAAGRycy9zaGFwZXhtbC54bWxQSwUGAAAAAAYABgBbAQAA&#10;tAMAAAAA&#10;">
                <v:path/>
                <v:fill on="f" focussize="0,0"/>
                <v:stroke on="f"/>
                <v:imagedata r:id="rId10" o:title=""/>
                <o:lock v:ext="edit" aspectratio="t"/>
              </v:shape>
              <v:shape id="图片 6" o:spid="_x0000_s1087" o:spt="75" alt="C:/Users/Administrator/AppData/Local/Temp/picturecompress_20210824162005/output_1.jpgoutput_1" type="#_x0000_t75" style="position:absolute;left:4581;top:4544;height:3373;width:2430;rotation:5898240f;" filled="f" o:preferrelative="t" stroked="f" coordsize="21600,21600" o:gfxdata="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HD3+EvQAA&#10;ANoAAAAPAAAAAAAAAAEAIAAAACIAAABkcnMvZG93bnJldi54bWxQSwECFAAUAAAACACHTuJAMy8F&#10;njsAAAA5AAAAEAAAAAAAAAABACAAAAAMAQAAZHJzL3NoYXBleG1sLnhtbFBLBQYAAAAABgAGAFsB&#10;AAC2AwAAAAA=&#10;">
                <v:path/>
                <v:fill on="f" focussize="0,0"/>
                <v:stroke on="f"/>
                <v:imagedata r:id="rId11" o:title=""/>
                <o:lock v:ext="edit" aspectratio="t"/>
              </v:shape>
            </v:group>
            <v:shape id="文本框 15" o:spid="_x0000_s1088" o:spt="202" type="#_x0000_t202" style="position:absolute;left:6990;top:47061;height:768;width:2789;" filled="f" stroked="f" coordsize="21600,21600">
              <v:path/>
              <v:fill on="f" focussize="0,0"/>
              <v:stroke on="f"/>
              <v:imagedata o:title=""/>
              <o:lock v:ext="edit" aspectratio="f"/>
              <v:textbox style="mso-fit-shape-to-text:t;">
                <w:txbxContent>
                  <w:p>
                    <w:pPr>
                      <w:pStyle w:val="30"/>
                      <w:numPr>
                        <w:ilvl w:val="0"/>
                        <w:numId w:val="0"/>
                      </w:numPr>
                      <w:kinsoku/>
                      <w:spacing w:line="240" w:lineRule="auto"/>
                      <w:jc w:val="left"/>
                      <w:textAlignment w:val="baseline"/>
                      <w:rPr>
                        <w:sz w:val="36"/>
                      </w:rPr>
                    </w:pPr>
                    <w:r>
                      <w:rPr>
                        <w:rFonts w:hint="eastAsia" w:ascii="黑体" w:hAnsi="黑体" w:eastAsia="黑体" w:cs="黑体"/>
                        <w:color w:val="000000" w:themeColor="text1"/>
                        <w:kern w:val="24"/>
                        <w:sz w:val="28"/>
                        <w:szCs w:val="28"/>
                        <w:lang w:eastAsia="zh-CN"/>
                      </w:rPr>
                      <w:t>图</w:t>
                    </w:r>
                    <w:r>
                      <w:rPr>
                        <w:rFonts w:hint="eastAsia" w:ascii="黑体" w:hAnsi="黑体" w:eastAsia="黑体" w:cs="黑体"/>
                        <w:color w:val="000000" w:themeColor="text1"/>
                        <w:kern w:val="24"/>
                        <w:sz w:val="28"/>
                        <w:szCs w:val="28"/>
                        <w:lang w:val="en-US" w:eastAsia="zh-CN"/>
                      </w:rPr>
                      <w:t>2</w:t>
                    </w:r>
                    <w:r>
                      <w:rPr>
                        <w:rFonts w:hint="eastAsia" w:ascii="黑体" w:hAnsi="黑体" w:eastAsia="黑体" w:cs="黑体"/>
                        <w:color w:val="000000" w:themeColor="text1"/>
                        <w:kern w:val="24"/>
                        <w:sz w:val="28"/>
                        <w:szCs w:val="28"/>
                      </w:rPr>
                      <w:t>折裥型（条型</w:t>
                    </w:r>
                    <w:r>
                      <w:rPr>
                        <w:rFonts w:asciiTheme="minorAscii" w:hAnsiTheme="minorBidi" w:eastAsiaTheme="minorEastAsia"/>
                        <w:color w:val="000000" w:themeColor="text1"/>
                        <w:kern w:val="24"/>
                        <w:sz w:val="28"/>
                        <w:szCs w:val="28"/>
                      </w:rPr>
                      <w:t>）</w:t>
                    </w:r>
                  </w:p>
                </w:txbxContent>
              </v:textbox>
            </v:shape>
          </v:group>
        </w:pict>
      </w:r>
    </w:p>
    <w:p>
      <w:pPr>
        <w:numPr>
          <w:ilvl w:val="-1"/>
          <w:numId w:val="0"/>
        </w:numPr>
        <w:adjustRightInd w:val="0"/>
        <w:spacing w:line="540" w:lineRule="exact"/>
        <w:ind w:firstLine="640" w:firstLineChars="200"/>
        <w:rPr>
          <w:rFonts w:hint="eastAsia" w:ascii="仿宋" w:hAnsi="仿宋" w:eastAsia="仿宋" w:cs="仿宋"/>
          <w:color w:val="FF0000"/>
          <w:sz w:val="32"/>
          <w:szCs w:val="32"/>
          <w:lang w:val="en-US" w:eastAsia="zh-CN"/>
        </w:rPr>
      </w:pPr>
    </w:p>
    <w:p>
      <w:pPr>
        <w:numPr>
          <w:ilvl w:val="-1"/>
          <w:numId w:val="0"/>
        </w:numPr>
        <w:adjustRightInd w:val="0"/>
        <w:spacing w:line="540" w:lineRule="exact"/>
        <w:rPr>
          <w:rFonts w:hint="eastAsia" w:ascii="仿宋" w:hAnsi="仿宋" w:eastAsia="仿宋" w:cs="仿宋"/>
          <w:color w:val="FF0000"/>
          <w:sz w:val="32"/>
          <w:szCs w:val="32"/>
          <w:lang w:val="en-US" w:eastAsia="zh-CN"/>
        </w:rPr>
      </w:pPr>
    </w:p>
    <w:p>
      <w:pPr>
        <w:numPr>
          <w:ilvl w:val="-1"/>
          <w:numId w:val="0"/>
        </w:numPr>
        <w:adjustRightInd w:val="0"/>
        <w:spacing w:line="540" w:lineRule="exact"/>
        <w:ind w:firstLine="640" w:firstLineChars="200"/>
        <w:rPr>
          <w:rFonts w:hint="eastAsia" w:ascii="仿宋" w:hAnsi="仿宋" w:eastAsia="仿宋" w:cs="仿宋"/>
          <w:color w:val="FF0000"/>
          <w:sz w:val="32"/>
          <w:szCs w:val="32"/>
          <w:lang w:val="en-US" w:eastAsia="zh-CN"/>
        </w:rPr>
      </w:pPr>
    </w:p>
    <w:p>
      <w:pPr>
        <w:numPr>
          <w:ilvl w:val="-1"/>
          <w:numId w:val="0"/>
        </w:numPr>
        <w:adjustRightInd w:val="0"/>
        <w:spacing w:line="540" w:lineRule="exact"/>
        <w:ind w:firstLine="640" w:firstLineChars="200"/>
        <w:rPr>
          <w:rFonts w:hint="eastAsia" w:ascii="仿宋" w:hAnsi="仿宋" w:eastAsia="仿宋" w:cs="仿宋"/>
          <w:color w:val="FF0000"/>
          <w:sz w:val="32"/>
          <w:szCs w:val="32"/>
          <w:lang w:val="en-US" w:eastAsia="zh-CN"/>
        </w:rPr>
      </w:pPr>
    </w:p>
    <w:p>
      <w:pPr>
        <w:numPr>
          <w:ilvl w:val="-1"/>
          <w:numId w:val="0"/>
        </w:numPr>
        <w:adjustRightInd w:val="0"/>
        <w:spacing w:line="540" w:lineRule="exact"/>
        <w:ind w:firstLine="640" w:firstLineChars="200"/>
        <w:rPr>
          <w:rFonts w:hint="eastAsia" w:ascii="仿宋" w:hAnsi="仿宋" w:eastAsia="仿宋" w:cs="仿宋"/>
          <w:color w:val="FF0000"/>
          <w:sz w:val="32"/>
          <w:szCs w:val="32"/>
          <w:lang w:val="en-US" w:eastAsia="zh-CN"/>
        </w:rPr>
      </w:pPr>
    </w:p>
    <w:p>
      <w:pPr>
        <w:numPr>
          <w:ilvl w:val="-1"/>
          <w:numId w:val="0"/>
        </w:numPr>
        <w:adjustRightInd w:val="0"/>
        <w:spacing w:line="540" w:lineRule="exact"/>
        <w:ind w:firstLine="640" w:firstLineChars="200"/>
        <w:rPr>
          <w:rFonts w:hint="eastAsia" w:ascii="仿宋" w:hAnsi="仿宋" w:eastAsia="仿宋" w:cs="仿宋"/>
          <w:color w:val="FF0000"/>
          <w:sz w:val="32"/>
          <w:szCs w:val="32"/>
          <w:lang w:val="en-US" w:eastAsia="zh-CN"/>
        </w:rPr>
      </w:pPr>
    </w:p>
    <w:p>
      <w:pPr>
        <w:numPr>
          <w:ilvl w:val="-1"/>
          <w:numId w:val="0"/>
        </w:numPr>
        <w:adjustRightInd w:val="0"/>
        <w:spacing w:line="540" w:lineRule="exact"/>
        <w:ind w:firstLine="420" w:firstLineChars="200"/>
        <w:rPr>
          <w:rFonts w:hint="eastAsia" w:ascii="仿宋" w:hAnsi="仿宋" w:eastAsia="仿宋" w:cs="仿宋"/>
          <w:color w:val="FF0000"/>
          <w:sz w:val="32"/>
          <w:szCs w:val="32"/>
          <w:lang w:val="en-US" w:eastAsia="zh-CN"/>
        </w:rPr>
      </w:pPr>
      <w:r>
        <w:rPr>
          <w:sz w:val="21"/>
        </w:rPr>
        <w:pict>
          <v:group id="_x0000_s1089" o:spid="_x0000_s1089" o:spt="203" style="position:absolute;left:0pt;margin-left:31.7pt;margin-top:24.4pt;height:185.8pt;width:346.5pt;z-index:251660288;mso-width-relative:page;mso-height-relative:page;" coordorigin="4653,54114" coordsize="6930,3716">
            <o:lock v:ext="edit" aspectratio="f"/>
            <v:group id="_x0000_s1090" o:spid="_x0000_s1090" o:spt="203" style="position:absolute;left:4653;top:54114;height:2600;width:6931;" coordorigin="4653,54114" coordsize="6931,2600">
              <o:lock v:ext="edit" aspectratio="f"/>
              <v:shape id="图片 10" o:spid="_x0000_s1091" o:spt="75" alt="微信图片_20210824160230" type="#_x0000_t75" style="position:absolute;left:4653;top:54114;height:2601;width:3402;" filled="f" o:preferrelative="t" stroked="f" coordsize="21600,21600">
                <v:path/>
                <v:fill on="f" focussize="0,0"/>
                <v:stroke on="f"/>
                <v:imagedata r:id="rId12" o:title=""/>
                <o:lock v:ext="edit" aspectratio="t"/>
              </v:shape>
              <v:shape id="图片 12" o:spid="_x0000_s1092" o:spt="75" alt="微信图片_20210824160326" type="#_x0000_t75" style="position:absolute;left:8168;top:54139;height:2551;width:3417;" filled="f" o:preferrelative="t" stroked="f" coordsize="21600,21600">
                <v:path/>
                <v:fill on="f" focussize="0,0"/>
                <v:stroke on="f"/>
                <v:imagedata r:id="rId13" o:title=""/>
                <o:lock v:ext="edit" aspectratio="t"/>
              </v:shape>
            </v:group>
            <v:shape id="文本框 16" o:spid="_x0000_s1093" o:spt="202" type="#_x0000_t202" style="position:absolute;left:7599;top:57062;height:768;width:1761;" filled="f" stroked="f" coordsize="21600,21600">
              <v:path/>
              <v:fill on="f" focussize="0,0"/>
              <v:stroke on="f"/>
              <v:imagedata o:title=""/>
              <o:lock v:ext="edit" aspectratio="f"/>
              <v:textbox style="mso-fit-shape-to-text:t;">
                <w:txbxContent>
                  <w:p>
                    <w:pPr>
                      <w:pStyle w:val="30"/>
                      <w:numPr>
                        <w:ilvl w:val="0"/>
                        <w:numId w:val="0"/>
                      </w:numPr>
                      <w:kinsoku/>
                      <w:spacing w:line="240" w:lineRule="auto"/>
                      <w:jc w:val="left"/>
                      <w:textAlignment w:val="baseline"/>
                      <w:rPr>
                        <w:rFonts w:hint="eastAsia" w:ascii="黑体" w:hAnsi="黑体" w:eastAsia="黑体" w:cs="黑体"/>
                        <w:sz w:val="28"/>
                        <w:szCs w:val="28"/>
                      </w:rPr>
                    </w:pPr>
                    <w:r>
                      <w:rPr>
                        <w:rFonts w:hint="eastAsia" w:ascii="黑体" w:hAnsi="黑体" w:eastAsia="黑体" w:cs="黑体"/>
                        <w:color w:val="000000" w:themeColor="text1"/>
                        <w:kern w:val="24"/>
                        <w:sz w:val="28"/>
                        <w:szCs w:val="28"/>
                        <w:lang w:eastAsia="zh-CN"/>
                      </w:rPr>
                      <w:t>图</w:t>
                    </w:r>
                    <w:r>
                      <w:rPr>
                        <w:rFonts w:hint="eastAsia" w:ascii="黑体" w:hAnsi="黑体" w:eastAsia="黑体" w:cs="黑体"/>
                        <w:color w:val="000000" w:themeColor="text1"/>
                        <w:kern w:val="24"/>
                        <w:sz w:val="28"/>
                        <w:szCs w:val="28"/>
                        <w:lang w:val="en-US" w:eastAsia="zh-CN"/>
                      </w:rPr>
                      <w:t>3</w:t>
                    </w:r>
                    <w:r>
                      <w:rPr>
                        <w:rFonts w:hint="eastAsia" w:ascii="黑体" w:hAnsi="黑体" w:eastAsia="黑体" w:cs="黑体"/>
                        <w:color w:val="000000" w:themeColor="text1"/>
                        <w:kern w:val="24"/>
                        <w:sz w:val="28"/>
                        <w:szCs w:val="28"/>
                      </w:rPr>
                      <w:t>系带型</w:t>
                    </w:r>
                  </w:p>
                </w:txbxContent>
              </v:textbox>
            </v:shape>
          </v:group>
        </w:pict>
      </w:r>
    </w:p>
    <w:p>
      <w:pPr>
        <w:numPr>
          <w:ilvl w:val="-1"/>
          <w:numId w:val="0"/>
        </w:numPr>
        <w:adjustRightInd w:val="0"/>
        <w:spacing w:line="540" w:lineRule="exact"/>
        <w:ind w:firstLine="640" w:firstLineChars="200"/>
        <w:rPr>
          <w:rFonts w:hint="eastAsia" w:ascii="仿宋" w:hAnsi="仿宋" w:eastAsia="仿宋" w:cs="仿宋"/>
          <w:color w:val="FF0000"/>
          <w:sz w:val="32"/>
          <w:szCs w:val="32"/>
          <w:lang w:val="en-US" w:eastAsia="zh-CN"/>
        </w:rPr>
      </w:pPr>
    </w:p>
    <w:p>
      <w:pPr>
        <w:numPr>
          <w:ilvl w:val="-1"/>
          <w:numId w:val="0"/>
        </w:numPr>
        <w:adjustRightInd w:val="0"/>
        <w:spacing w:line="540" w:lineRule="exact"/>
        <w:ind w:firstLine="640" w:firstLineChars="200"/>
        <w:rPr>
          <w:rFonts w:hint="eastAsia" w:ascii="仿宋" w:hAnsi="仿宋" w:eastAsia="仿宋" w:cs="仿宋"/>
          <w:color w:val="FF0000"/>
          <w:sz w:val="32"/>
          <w:szCs w:val="32"/>
          <w:lang w:val="en-US" w:eastAsia="zh-CN"/>
        </w:rPr>
      </w:pPr>
    </w:p>
    <w:p>
      <w:pPr>
        <w:numPr>
          <w:ilvl w:val="-1"/>
          <w:numId w:val="0"/>
        </w:numPr>
        <w:adjustRightInd w:val="0"/>
        <w:spacing w:line="540" w:lineRule="exact"/>
        <w:ind w:firstLine="640" w:firstLineChars="200"/>
        <w:rPr>
          <w:rFonts w:hint="eastAsia" w:ascii="仿宋" w:hAnsi="仿宋" w:eastAsia="仿宋" w:cs="仿宋"/>
          <w:color w:val="FF0000"/>
          <w:sz w:val="32"/>
          <w:szCs w:val="32"/>
          <w:lang w:val="en-US" w:eastAsia="zh-CN"/>
        </w:rPr>
      </w:pPr>
    </w:p>
    <w:p>
      <w:pPr>
        <w:numPr>
          <w:ilvl w:val="-1"/>
          <w:numId w:val="0"/>
        </w:numPr>
        <w:adjustRightInd w:val="0"/>
        <w:spacing w:line="540" w:lineRule="exact"/>
        <w:ind w:firstLine="640" w:firstLineChars="200"/>
        <w:rPr>
          <w:rFonts w:hint="eastAsia" w:ascii="仿宋" w:hAnsi="仿宋" w:eastAsia="仿宋" w:cs="仿宋"/>
          <w:color w:val="FF0000"/>
          <w:sz w:val="32"/>
          <w:szCs w:val="32"/>
          <w:lang w:val="en-US" w:eastAsia="zh-CN"/>
        </w:rPr>
      </w:pPr>
    </w:p>
    <w:p>
      <w:pPr>
        <w:numPr>
          <w:ilvl w:val="-1"/>
          <w:numId w:val="0"/>
        </w:numPr>
        <w:adjustRightInd w:val="0"/>
        <w:spacing w:line="540" w:lineRule="exact"/>
        <w:ind w:firstLine="640" w:firstLineChars="200"/>
        <w:rPr>
          <w:rFonts w:hint="eastAsia" w:ascii="仿宋" w:hAnsi="仿宋" w:eastAsia="仿宋" w:cs="仿宋"/>
          <w:color w:val="FF0000"/>
          <w:sz w:val="32"/>
          <w:szCs w:val="32"/>
          <w:lang w:val="en-US" w:eastAsia="zh-CN"/>
        </w:rPr>
      </w:pPr>
    </w:p>
    <w:p>
      <w:pPr>
        <w:numPr>
          <w:ilvl w:val="0"/>
          <w:numId w:val="0"/>
        </w:numPr>
        <w:spacing w:line="540" w:lineRule="exact"/>
        <w:rPr>
          <w:rFonts w:hint="default" w:eastAsia="仿宋_GB2312"/>
          <w:snapToGrid w:val="0"/>
          <w:kern w:val="0"/>
          <w:sz w:val="32"/>
          <w:szCs w:val="32"/>
          <w:lang w:val="en-US" w:eastAsia="zh-CN"/>
        </w:rPr>
      </w:pPr>
    </w:p>
    <w:p>
      <w:pPr>
        <w:pStyle w:val="5"/>
        <w:bidi w:val="0"/>
        <w:rPr>
          <w:rFonts w:hint="eastAsia"/>
          <w:lang w:val="en-US" w:eastAsia="zh-CN"/>
        </w:rPr>
      </w:pPr>
    </w:p>
    <w:p>
      <w:pPr>
        <w:pStyle w:val="4"/>
        <w:bidi w:val="0"/>
        <w:rPr>
          <w:rFonts w:hint="eastAsia"/>
          <w:lang w:val="en-US" w:eastAsia="zh-CN"/>
        </w:rPr>
      </w:pPr>
      <w:r>
        <w:rPr>
          <w:rFonts w:hint="eastAsia"/>
          <w:lang w:val="en-US" w:eastAsia="zh-CN"/>
        </w:rPr>
        <w:t>4.包装说明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应提供有关产品包装的信息，如描述产品包装的材料，说明包装清单和包装方式，提供包装图示等。如有配件，还应提供与该产品一起销售的配件包装情况。应当说明与灭菌方法相适应的最初包装的信息。</w:t>
      </w:r>
    </w:p>
    <w:p>
      <w:pPr>
        <w:pStyle w:val="4"/>
        <w:bidi w:val="0"/>
        <w:rPr>
          <w:rFonts w:hint="eastAsia"/>
          <w:lang w:val="en-US" w:eastAsia="zh-CN"/>
        </w:rPr>
      </w:pPr>
      <w:r>
        <w:rPr>
          <w:rFonts w:hint="eastAsia"/>
          <w:lang w:val="en-US" w:eastAsia="zh-CN"/>
        </w:rPr>
        <w:t>5.适用范围</w:t>
      </w:r>
    </w:p>
    <w:p>
      <w:pPr>
        <w:pStyle w:val="4"/>
        <w:bidi w:val="0"/>
        <w:rPr>
          <w:rFonts w:hint="eastAsia"/>
          <w:lang w:val="en-US" w:eastAsia="zh-CN"/>
        </w:rPr>
      </w:pPr>
      <w:r>
        <w:rPr>
          <w:rFonts w:hint="eastAsia"/>
        </w:rPr>
        <w:t>（1）</w:t>
      </w:r>
      <w:r>
        <w:t>适用范围</w:t>
      </w:r>
    </w:p>
    <w:p>
      <w:pPr>
        <w:numPr>
          <w:ilvl w:val="0"/>
          <w:numId w:val="0"/>
        </w:numPr>
        <w:spacing w:line="540" w:lineRule="exact"/>
        <w:ind w:firstLine="640" w:firstLineChars="200"/>
        <w:rPr>
          <w:rFonts w:hint="eastAsia" w:eastAsia="仿宋_GB2312"/>
          <w:snapToGrid w:val="0"/>
          <w:kern w:val="0"/>
          <w:sz w:val="32"/>
          <w:szCs w:val="32"/>
          <w:lang w:eastAsia="zh-CN"/>
        </w:rPr>
      </w:pPr>
      <w:r>
        <w:rPr>
          <w:rFonts w:hint="eastAsia" w:eastAsia="仿宋_GB2312"/>
          <w:snapToGrid w:val="0"/>
          <w:kern w:val="0"/>
          <w:sz w:val="32"/>
          <w:szCs w:val="32"/>
          <w:lang w:val="en-US" w:eastAsia="zh-CN"/>
        </w:rPr>
        <w:t>用于戴在手术人员头部，防止感染源向病人手术创面传播和病人的体液向手术人员传播</w:t>
      </w:r>
      <w:r>
        <w:rPr>
          <w:rFonts w:hint="eastAsia" w:eastAsia="仿宋_GB2312"/>
          <w:snapToGrid w:val="0"/>
          <w:kern w:val="0"/>
          <w:sz w:val="32"/>
          <w:szCs w:val="32"/>
          <w:lang w:eastAsia="zh-CN"/>
        </w:rPr>
        <w:t>。</w:t>
      </w:r>
    </w:p>
    <w:p>
      <w:pPr>
        <w:pStyle w:val="4"/>
        <w:bidi w:val="0"/>
      </w:pPr>
      <w:r>
        <w:rPr>
          <w:rFonts w:hint="eastAsia"/>
        </w:rPr>
        <w:t>（2）</w:t>
      </w:r>
      <w:r>
        <w:t>预期使用环境</w:t>
      </w:r>
    </w:p>
    <w:p>
      <w:pPr>
        <w:overflowPunct w:val="0"/>
        <w:autoSpaceDE w:val="0"/>
        <w:autoSpaceDN w:val="0"/>
        <w:spacing w:line="560" w:lineRule="exact"/>
        <w:ind w:firstLine="640" w:firstLineChars="200"/>
        <w:rPr>
          <w:rFonts w:eastAsia="仿宋_GB2312"/>
          <w:snapToGrid w:val="0"/>
          <w:kern w:val="0"/>
          <w:sz w:val="32"/>
          <w:szCs w:val="32"/>
        </w:rPr>
      </w:pPr>
      <w:r>
        <w:rPr>
          <w:rFonts w:eastAsia="仿宋_GB2312"/>
          <w:snapToGrid w:val="0"/>
          <w:kern w:val="0"/>
          <w:sz w:val="32"/>
          <w:szCs w:val="32"/>
        </w:rPr>
        <w:t>应明确设备使用场</w:t>
      </w:r>
      <w:r>
        <w:rPr>
          <w:rFonts w:hint="eastAsia" w:eastAsia="仿宋_GB2312"/>
          <w:snapToGrid w:val="0"/>
          <w:kern w:val="0"/>
          <w:sz w:val="32"/>
          <w:szCs w:val="32"/>
        </w:rPr>
        <w:t>所</w:t>
      </w:r>
      <w:r>
        <w:rPr>
          <w:rFonts w:eastAsia="仿宋_GB2312"/>
          <w:snapToGrid w:val="0"/>
          <w:kern w:val="0"/>
          <w:sz w:val="32"/>
          <w:szCs w:val="32"/>
        </w:rPr>
        <w:t>和使用环境要求。</w:t>
      </w:r>
    </w:p>
    <w:p>
      <w:pPr>
        <w:pStyle w:val="4"/>
        <w:bidi w:val="0"/>
      </w:pPr>
      <w:r>
        <w:rPr>
          <w:rFonts w:hint="eastAsia"/>
        </w:rPr>
        <w:t>（3）</w:t>
      </w:r>
      <w:r>
        <w:t>适用人群</w:t>
      </w:r>
    </w:p>
    <w:p>
      <w:pPr>
        <w:overflowPunct w:val="0"/>
        <w:autoSpaceDE w:val="0"/>
        <w:autoSpaceDN w:val="0"/>
        <w:adjustRightInd w:val="0"/>
        <w:spacing w:line="560" w:lineRule="exact"/>
        <w:ind w:firstLine="640" w:firstLineChars="200"/>
        <w:rPr>
          <w:rFonts w:eastAsia="仿宋_GB2312"/>
          <w:snapToGrid w:val="0"/>
          <w:kern w:val="0"/>
          <w:sz w:val="32"/>
          <w:szCs w:val="32"/>
        </w:rPr>
      </w:pPr>
      <w:r>
        <w:rPr>
          <w:rFonts w:hint="eastAsia" w:eastAsia="仿宋_GB2312"/>
          <w:snapToGrid w:val="0"/>
          <w:kern w:val="0"/>
          <w:sz w:val="32"/>
          <w:szCs w:val="32"/>
        </w:rPr>
        <w:t>应详述产品的适用人群</w:t>
      </w:r>
      <w:r>
        <w:rPr>
          <w:rFonts w:eastAsia="仿宋_GB2312"/>
          <w:snapToGrid w:val="0"/>
          <w:kern w:val="0"/>
          <w:sz w:val="32"/>
          <w:szCs w:val="32"/>
        </w:rPr>
        <w:t>。</w:t>
      </w:r>
    </w:p>
    <w:p>
      <w:pPr>
        <w:pStyle w:val="4"/>
        <w:bidi w:val="0"/>
      </w:pPr>
      <w:r>
        <w:rPr>
          <w:rFonts w:hint="eastAsia"/>
        </w:rPr>
        <w:t>（4）</w:t>
      </w:r>
      <w:r>
        <w:t>禁忌症</w:t>
      </w:r>
    </w:p>
    <w:p>
      <w:pPr>
        <w:overflowPunct w:val="0"/>
        <w:autoSpaceDE w:val="0"/>
        <w:autoSpaceDN w:val="0"/>
        <w:adjustRightInd w:val="0"/>
        <w:spacing w:line="560" w:lineRule="exact"/>
        <w:ind w:firstLine="640" w:firstLineChars="200"/>
        <w:rPr>
          <w:rFonts w:hint="eastAsia" w:eastAsia="仿宋_GB2312"/>
          <w:snapToGrid w:val="0"/>
          <w:kern w:val="0"/>
          <w:sz w:val="32"/>
          <w:szCs w:val="32"/>
          <w:lang w:eastAsia="zh-CN"/>
        </w:rPr>
      </w:pPr>
      <w:r>
        <w:rPr>
          <w:rFonts w:eastAsia="仿宋_GB2312"/>
          <w:snapToGrid w:val="0"/>
          <w:kern w:val="0"/>
          <w:sz w:val="32"/>
          <w:szCs w:val="32"/>
        </w:rPr>
        <w:t>应说明产品临床应用的禁忌症</w:t>
      </w:r>
      <w:r>
        <w:rPr>
          <w:rFonts w:hint="eastAsia" w:eastAsia="仿宋_GB2312"/>
          <w:snapToGrid w:val="0"/>
          <w:kern w:val="0"/>
          <w:sz w:val="32"/>
          <w:szCs w:val="32"/>
          <w:lang w:eastAsia="zh-CN"/>
        </w:rPr>
        <w:t>，例如：对组成材料过敏者禁用。</w:t>
      </w:r>
    </w:p>
    <w:p>
      <w:pPr>
        <w:pStyle w:val="4"/>
        <w:bidi w:val="0"/>
        <w:rPr>
          <w:rFonts w:hint="default"/>
          <w:lang w:val="en-US" w:eastAsia="zh-CN"/>
        </w:rPr>
      </w:pPr>
      <w:r>
        <w:rPr>
          <w:rFonts w:hint="eastAsia"/>
          <w:lang w:val="en-US" w:eastAsia="zh-CN"/>
        </w:rPr>
        <w:t>6.参考的同类产品情况</w:t>
      </w:r>
    </w:p>
    <w:p>
      <w:pPr>
        <w:pStyle w:val="5"/>
        <w:keepNext/>
        <w:keepLines/>
        <w:pageBreakBefore w:val="0"/>
        <w:widowControl w:val="0"/>
        <w:kinsoku/>
        <w:wordWrap/>
        <w:overflowPunct/>
        <w:topLinePunct w:val="0"/>
        <w:autoSpaceDE/>
        <w:autoSpaceDN/>
        <w:bidi w:val="0"/>
        <w:adjustRightInd/>
        <w:snapToGrid/>
        <w:ind w:left="0" w:leftChars="0" w:firstLine="640" w:firstLineChars="200"/>
        <w:textAlignment w:val="auto"/>
        <w:rPr>
          <w:rFonts w:hint="eastAsia" w:eastAsia="仿宋_GB2312"/>
          <w:snapToGrid w:val="0"/>
          <w:kern w:val="0"/>
          <w:sz w:val="32"/>
          <w:szCs w:val="32"/>
        </w:rPr>
      </w:pPr>
      <w:r>
        <w:rPr>
          <w:rFonts w:eastAsia="仿宋_GB2312"/>
          <w:snapToGrid w:val="0"/>
          <w:kern w:val="0"/>
          <w:sz w:val="32"/>
          <w:szCs w:val="32"/>
        </w:rPr>
        <w:t>申报产品应与已在中国境内上市的同类产品或前代产品进行对比分析，</w:t>
      </w:r>
      <w:r>
        <w:rPr>
          <w:rFonts w:hint="eastAsia" w:eastAsia="仿宋_GB2312"/>
          <w:snapToGrid w:val="0"/>
          <w:kern w:val="0"/>
          <w:sz w:val="32"/>
          <w:szCs w:val="32"/>
        </w:rPr>
        <w:t>应</w:t>
      </w:r>
      <w:r>
        <w:rPr>
          <w:rFonts w:eastAsia="仿宋_GB2312"/>
          <w:snapToGrid w:val="0"/>
          <w:kern w:val="0"/>
          <w:sz w:val="32"/>
          <w:szCs w:val="32"/>
        </w:rPr>
        <w:t>详述产品间差异。</w:t>
      </w:r>
    </w:p>
    <w:p>
      <w:pPr>
        <w:pStyle w:val="4"/>
        <w:bidi w:val="0"/>
        <w:rPr>
          <w:rFonts w:hint="eastAsia"/>
          <w:lang w:val="en-US" w:eastAsia="zh-CN"/>
        </w:rPr>
      </w:pPr>
      <w:r>
        <w:rPr>
          <w:rFonts w:hint="eastAsia"/>
          <w:lang w:val="en-US" w:eastAsia="zh-CN"/>
        </w:rPr>
        <w:t>7.不良事件情况</w:t>
      </w:r>
    </w:p>
    <w:p>
      <w:pPr>
        <w:pStyle w:val="2"/>
        <w:numPr>
          <w:ilvl w:val="0"/>
          <w:numId w:val="0"/>
        </w:numPr>
        <w:ind w:firstLine="640" w:firstLineChars="200"/>
        <w:rPr>
          <w:rFonts w:hint="default"/>
          <w:lang w:val="en-US" w:eastAsia="zh-CN"/>
        </w:rPr>
      </w:pPr>
      <w:r>
        <w:rPr>
          <w:rFonts w:hint="eastAsia" w:ascii="仿宋" w:hAnsi="仿宋" w:eastAsia="仿宋" w:cs="仿宋"/>
          <w:color w:val="000000"/>
          <w:sz w:val="32"/>
          <w:szCs w:val="32"/>
          <w:lang w:val="en-US" w:eastAsia="zh-CN"/>
        </w:rPr>
        <w:t>申请人应当收集并全面分析上报一次性使用手术帽产品相关可疑不良事件，以促进该类产品的进一步技术更新，最大限度地控制医疗器械潜在风险，保证该类产品安全有效地使用。申请人在风险分析时应关注同品种产品的不良事件历史记录。</w:t>
      </w:r>
    </w:p>
    <w:p>
      <w:pPr>
        <w:pStyle w:val="3"/>
        <w:numPr>
          <w:ilvl w:val="0"/>
          <w:numId w:val="2"/>
        </w:numPr>
        <w:bidi w:val="0"/>
        <w:rPr>
          <w:rFonts w:hint="eastAsia"/>
          <w:lang w:eastAsia="zh-CN"/>
        </w:rPr>
      </w:pPr>
      <w:r>
        <w:rPr>
          <w:rFonts w:hint="eastAsia"/>
          <w:lang w:eastAsia="zh-CN"/>
        </w:rPr>
        <w:t>非临床评价资料</w:t>
      </w:r>
    </w:p>
    <w:p>
      <w:pPr>
        <w:pStyle w:val="4"/>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lang w:val="en-US" w:eastAsia="zh-CN"/>
        </w:rPr>
      </w:pPr>
      <w:r>
        <w:rPr>
          <w:rFonts w:hint="eastAsia"/>
          <w:lang w:val="en-US" w:eastAsia="zh-CN"/>
        </w:rPr>
        <w:t>1.研究资料</w:t>
      </w:r>
    </w:p>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至少应包含如下内容：</w:t>
      </w:r>
    </w:p>
    <w:p>
      <w:pPr>
        <w:pStyle w:val="4"/>
        <w:keepNext w:val="0"/>
        <w:keepLines w:val="0"/>
        <w:pageBreakBefore w:val="0"/>
        <w:kinsoku/>
        <w:wordWrap/>
        <w:topLinePunct w:val="0"/>
        <w:bidi w:val="0"/>
        <w:snapToGrid/>
        <w:spacing w:line="520" w:lineRule="exact"/>
        <w:textAlignment w:val="auto"/>
        <w:rPr>
          <w:rFonts w:hint="eastAsia"/>
          <w:lang w:val="en-US" w:eastAsia="zh-CN"/>
        </w:rPr>
      </w:pPr>
      <w:r>
        <w:rPr>
          <w:rFonts w:hint="eastAsia"/>
          <w:lang w:val="en-US" w:eastAsia="zh-CN"/>
        </w:rPr>
        <w:t>（1）原材料控制</w:t>
      </w:r>
    </w:p>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eastAsia="zh-CN"/>
        </w:rPr>
        <w:t>原材料明确质控标准，并提交相应的证明资料。</w:t>
      </w:r>
    </w:p>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对于首次用于医疗器械方面的新材料，应提供该材料适合用于符合预期用途的相关研究资料。</w:t>
      </w:r>
    </w:p>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（2）产品性能研究</w:t>
      </w:r>
    </w:p>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应当提供产品性能研究资料</w:t>
      </w:r>
      <w:r>
        <w:rPr>
          <w:rFonts w:hint="eastAsia" w:ascii="仿宋" w:hAnsi="仿宋" w:eastAsia="仿宋" w:cs="仿宋"/>
          <w:color w:val="000000"/>
          <w:sz w:val="32"/>
          <w:szCs w:val="32"/>
          <w:lang w:eastAsia="zh-CN"/>
        </w:rPr>
        <w:t>以及产品技术要求的研究和编制说明。</w:t>
      </w:r>
      <w:r>
        <w:rPr>
          <w:rFonts w:hint="eastAsia" w:ascii="仿宋" w:hAnsi="仿宋" w:eastAsia="仿宋" w:cs="仿宋"/>
          <w:color w:val="000000"/>
          <w:sz w:val="32"/>
          <w:szCs w:val="32"/>
        </w:rPr>
        <w:t>应给出</w:t>
      </w:r>
      <w:r>
        <w:rPr>
          <w:rFonts w:hint="eastAsia" w:ascii="仿宋" w:hAnsi="仿宋" w:eastAsia="仿宋" w:cs="仿宋"/>
          <w:color w:val="000000"/>
          <w:sz w:val="32"/>
          <w:szCs w:val="32"/>
          <w:lang w:eastAsia="zh-CN"/>
        </w:rPr>
        <w:t>产品</w:t>
      </w:r>
      <w:r>
        <w:rPr>
          <w:rFonts w:hint="eastAsia" w:ascii="仿宋" w:hAnsi="仿宋" w:eastAsia="仿宋" w:cs="仿宋"/>
          <w:color w:val="000000"/>
          <w:sz w:val="32"/>
          <w:szCs w:val="32"/>
        </w:rPr>
        <w:t>技术要求（包括规格参数和性能要求）中各</w:t>
      </w:r>
      <w:r>
        <w:rPr>
          <w:rFonts w:hint="eastAsia" w:ascii="仿宋" w:hAnsi="仿宋" w:eastAsia="仿宋" w:cs="仿宋"/>
          <w:color w:val="000000"/>
          <w:sz w:val="32"/>
          <w:szCs w:val="32"/>
          <w:lang w:eastAsia="zh-CN"/>
        </w:rPr>
        <w:t>项</w:t>
      </w:r>
      <w:r>
        <w:rPr>
          <w:rFonts w:hint="eastAsia" w:ascii="仿宋" w:hAnsi="仿宋" w:eastAsia="仿宋" w:cs="仿宋"/>
          <w:color w:val="000000"/>
          <w:sz w:val="32"/>
          <w:szCs w:val="32"/>
        </w:rPr>
        <w:t>性能指标</w:t>
      </w:r>
      <w:r>
        <w:rPr>
          <w:rFonts w:hint="eastAsia" w:ascii="仿宋" w:hAnsi="仿宋" w:eastAsia="仿宋" w:cs="仿宋"/>
          <w:color w:val="000000"/>
          <w:sz w:val="32"/>
          <w:szCs w:val="32"/>
          <w:lang w:eastAsia="zh-CN"/>
        </w:rPr>
        <w:t>及检验方法</w:t>
      </w:r>
      <w:r>
        <w:rPr>
          <w:rFonts w:hint="eastAsia" w:ascii="仿宋" w:hAnsi="仿宋" w:eastAsia="仿宋" w:cs="仿宋"/>
          <w:color w:val="000000"/>
          <w:sz w:val="32"/>
          <w:szCs w:val="32"/>
        </w:rPr>
        <w:t>的</w:t>
      </w:r>
      <w:r>
        <w:rPr>
          <w:rFonts w:hint="eastAsia" w:ascii="仿宋" w:hAnsi="仿宋" w:eastAsia="仿宋" w:cs="仿宋"/>
          <w:color w:val="000000"/>
          <w:sz w:val="32"/>
          <w:szCs w:val="32"/>
          <w:lang w:eastAsia="zh-CN"/>
        </w:rPr>
        <w:t>确定</w:t>
      </w:r>
      <w:r>
        <w:rPr>
          <w:rFonts w:hint="eastAsia" w:ascii="仿宋" w:hAnsi="仿宋" w:eastAsia="仿宋" w:cs="仿宋"/>
          <w:color w:val="000000"/>
          <w:sz w:val="32"/>
          <w:szCs w:val="32"/>
        </w:rPr>
        <w:t>依据、所采用的标准或方法、采用的原因及理论基础。</w:t>
      </w:r>
      <w:r>
        <w:rPr>
          <w:rFonts w:hint="eastAsia" w:ascii="仿宋" w:hAnsi="仿宋" w:eastAsia="仿宋" w:cs="仿宋"/>
          <w:bCs w:val="0"/>
          <w:color w:val="000000"/>
          <w:sz w:val="32"/>
          <w:szCs w:val="32"/>
        </w:rPr>
        <w:t>对于</w:t>
      </w:r>
      <w:r>
        <w:rPr>
          <w:rFonts w:hint="eastAsia" w:ascii="仿宋" w:hAnsi="仿宋" w:eastAsia="仿宋" w:cs="仿宋"/>
          <w:bCs w:val="0"/>
          <w:color w:val="000000"/>
          <w:sz w:val="32"/>
          <w:szCs w:val="32"/>
          <w:lang w:eastAsia="zh-CN"/>
        </w:rPr>
        <w:t>自定义性能</w:t>
      </w:r>
      <w:r>
        <w:rPr>
          <w:rFonts w:hint="eastAsia" w:ascii="仿宋" w:hAnsi="仿宋" w:eastAsia="仿宋" w:cs="仿宋"/>
          <w:bCs w:val="0"/>
          <w:color w:val="000000"/>
          <w:sz w:val="32"/>
          <w:szCs w:val="32"/>
        </w:rPr>
        <w:t>，注册申请人还需提供相应的依据及方法学验证资料。</w:t>
      </w:r>
    </w:p>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eastAsia="zh-CN"/>
        </w:rPr>
        <w:t>一次性使用手术帽</w:t>
      </w:r>
      <w:r>
        <w:rPr>
          <w:rFonts w:hint="eastAsia" w:ascii="仿宋" w:hAnsi="仿宋" w:eastAsia="仿宋" w:cs="仿宋"/>
          <w:color w:val="000000"/>
          <w:sz w:val="32"/>
          <w:szCs w:val="32"/>
        </w:rPr>
        <w:t>性能研究可参照YY</w:t>
      </w:r>
      <w:r>
        <w:rPr>
          <w:rFonts w:hint="eastAsia" w:ascii="仿宋" w:hAnsi="仿宋" w:eastAsia="仿宋" w:cs="仿宋"/>
          <w:color w:val="000000"/>
          <w:sz w:val="32"/>
          <w:szCs w:val="32"/>
          <w:lang w:val="en-US" w:eastAsia="zh-CN"/>
        </w:rPr>
        <w:t>/T</w:t>
      </w:r>
      <w:r>
        <w:rPr>
          <w:rFonts w:hint="eastAsia" w:ascii="仿宋" w:hAnsi="仿宋" w:eastAsia="仿宋" w:cs="仿宋"/>
          <w:color w:val="000000"/>
          <w:sz w:val="32"/>
          <w:szCs w:val="32"/>
        </w:rPr>
        <w:t xml:space="preserve"> </w:t>
      </w:r>
      <w:r>
        <w:rPr>
          <w:rFonts w:hint="eastAsia" w:ascii="仿宋" w:hAnsi="仿宋" w:eastAsia="仿宋" w:cs="仿宋"/>
          <w:color w:val="000000"/>
          <w:sz w:val="32"/>
          <w:szCs w:val="32"/>
          <w:lang w:val="en-US" w:eastAsia="zh-CN"/>
        </w:rPr>
        <w:t>0506系列标准</w:t>
      </w:r>
      <w:r>
        <w:rPr>
          <w:rFonts w:hint="eastAsia" w:ascii="仿宋" w:hAnsi="仿宋" w:eastAsia="仿宋" w:cs="仿宋"/>
          <w:color w:val="000000"/>
          <w:sz w:val="32"/>
          <w:szCs w:val="32"/>
        </w:rPr>
        <w:t>。对于不适用的标准、标准中不适用的条款及指导原则中的不适用项，需要给出不适用的合理理由。产品技术要求编制说明还包括以下内容：</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rPr>
      </w:pPr>
      <w:r>
        <w:rPr>
          <w:rFonts w:hint="eastAsia" w:ascii="Times New Roman" w:hAnsi="Times New Roman" w:eastAsia="仿宋_GB2312" w:cs="Times New Roman"/>
          <w:snapToGrid w:val="0"/>
          <w:kern w:val="0"/>
          <w:sz w:val="32"/>
          <w:szCs w:val="32"/>
          <w:lang w:val="en-US" w:eastAsia="zh-CN" w:bidi="ar-SA"/>
        </w:rPr>
        <w:t>a.</w:t>
      </w:r>
      <w:r>
        <w:rPr>
          <w:rFonts w:hint="eastAsia" w:ascii="仿宋" w:hAnsi="仿宋" w:eastAsia="仿宋" w:cs="仿宋"/>
          <w:color w:val="000000"/>
          <w:sz w:val="32"/>
          <w:szCs w:val="32"/>
        </w:rPr>
        <w:t>引用或参考的相关标准及资料；</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rPr>
      </w:pPr>
      <w:r>
        <w:rPr>
          <w:rFonts w:hint="eastAsia" w:ascii="Times New Roman" w:hAnsi="Times New Roman" w:eastAsia="仿宋_GB2312" w:cs="Times New Roman"/>
          <w:snapToGrid w:val="0"/>
          <w:kern w:val="0"/>
          <w:sz w:val="32"/>
          <w:szCs w:val="32"/>
          <w:lang w:val="en-US" w:eastAsia="zh-CN" w:bidi="ar-SA"/>
        </w:rPr>
        <w:t>b.</w:t>
      </w:r>
      <w:r>
        <w:rPr>
          <w:rFonts w:hint="eastAsia" w:ascii="仿宋" w:hAnsi="仿宋" w:eastAsia="仿宋" w:cs="仿宋"/>
          <w:color w:val="000000"/>
          <w:sz w:val="32"/>
          <w:szCs w:val="32"/>
        </w:rPr>
        <w:t>产品概述及主要技术条款确定的依据；</w:t>
      </w:r>
    </w:p>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lang w:eastAsia="zh-CN"/>
        </w:rPr>
      </w:pPr>
      <w:r>
        <w:rPr>
          <w:rFonts w:hint="eastAsia" w:ascii="Times New Roman" w:hAnsi="Times New Roman" w:eastAsia="仿宋_GB2312" w:cs="Times New Roman"/>
          <w:snapToGrid w:val="0"/>
          <w:kern w:val="0"/>
          <w:sz w:val="32"/>
          <w:szCs w:val="32"/>
          <w:lang w:val="en-US" w:eastAsia="zh-CN" w:bidi="ar-SA"/>
        </w:rPr>
        <w:t>c.</w:t>
      </w:r>
      <w:r>
        <w:rPr>
          <w:rFonts w:hint="eastAsia" w:ascii="仿宋" w:hAnsi="仿宋" w:eastAsia="仿宋" w:cs="仿宋"/>
          <w:color w:val="000000"/>
          <w:sz w:val="32"/>
          <w:szCs w:val="32"/>
        </w:rPr>
        <w:t>其他需要说明的内容。</w:t>
      </w:r>
    </w:p>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(3)生物相容性研究</w:t>
      </w:r>
    </w:p>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kern w:val="2"/>
          <w:sz w:val="32"/>
          <w:szCs w:val="32"/>
        </w:rPr>
      </w:pPr>
      <w:r>
        <w:rPr>
          <w:rFonts w:hint="eastAsia" w:ascii="仿宋" w:hAnsi="仿宋" w:eastAsia="仿宋" w:cs="仿宋"/>
          <w:color w:val="000000"/>
          <w:spacing w:val="0"/>
          <w:sz w:val="32"/>
          <w:szCs w:val="32"/>
        </w:rPr>
        <w:t>应描述</w:t>
      </w:r>
      <w:r>
        <w:rPr>
          <w:rFonts w:hint="eastAsia" w:ascii="仿宋" w:hAnsi="仿宋" w:eastAsia="仿宋" w:cs="仿宋"/>
          <w:color w:val="000000"/>
          <w:spacing w:val="0"/>
          <w:sz w:val="32"/>
          <w:szCs w:val="32"/>
          <w:lang w:eastAsia="zh-CN"/>
        </w:rPr>
        <w:t>一次性使用手术帽</w:t>
      </w:r>
      <w:r>
        <w:rPr>
          <w:rFonts w:hint="eastAsia" w:ascii="仿宋" w:hAnsi="仿宋" w:eastAsia="仿宋" w:cs="仿宋"/>
          <w:color w:val="000000"/>
          <w:spacing w:val="0"/>
          <w:sz w:val="32"/>
          <w:szCs w:val="32"/>
        </w:rPr>
        <w:t>与人体接触部件的材料，以及接触的性质和时间，参照《关于印发医疗器械生物学评价和审评指南的通知》、GB/T 16886.1《医疗器械生物学评价 第1部分:风险管理过程中的评价与试验》的要求对其进行生物相容性评价。</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kern w:val="2"/>
          <w:sz w:val="32"/>
          <w:szCs w:val="32"/>
        </w:rPr>
      </w:pPr>
      <w:r>
        <w:rPr>
          <w:rFonts w:hint="eastAsia" w:ascii="Times New Roman" w:hAnsi="Times New Roman" w:eastAsia="仿宋_GB2312" w:cs="Times New Roman"/>
          <w:snapToGrid w:val="0"/>
          <w:kern w:val="0"/>
          <w:sz w:val="32"/>
          <w:szCs w:val="32"/>
          <w:lang w:val="en-US" w:eastAsia="zh-CN" w:bidi="ar-SA"/>
        </w:rPr>
        <w:t>a.</w:t>
      </w:r>
      <w:r>
        <w:rPr>
          <w:rFonts w:hint="eastAsia" w:ascii="仿宋" w:hAnsi="仿宋" w:eastAsia="仿宋" w:cs="仿宋"/>
          <w:color w:val="000000"/>
          <w:kern w:val="2"/>
          <w:sz w:val="32"/>
          <w:szCs w:val="32"/>
        </w:rPr>
        <w:t>如需进行生物相容性试验，应按照GB/T 16886系列标准的要求开展。</w:t>
      </w:r>
      <w:r>
        <w:rPr>
          <w:rFonts w:hint="eastAsia" w:ascii="仿宋" w:hAnsi="仿宋" w:eastAsia="仿宋" w:cs="仿宋"/>
          <w:color w:val="000000"/>
          <w:spacing w:val="0"/>
          <w:sz w:val="32"/>
          <w:szCs w:val="32"/>
          <w:lang w:eastAsia="zh-CN"/>
        </w:rPr>
        <w:t>应</w:t>
      </w:r>
      <w:r>
        <w:rPr>
          <w:rFonts w:hint="eastAsia" w:ascii="仿宋" w:hAnsi="仿宋" w:eastAsia="仿宋" w:cs="仿宋"/>
          <w:color w:val="000000"/>
          <w:sz w:val="32"/>
          <w:szCs w:val="32"/>
          <w:highlight w:val="none"/>
        </w:rPr>
        <w:t>至少进行</w:t>
      </w:r>
      <w:r>
        <w:rPr>
          <w:rFonts w:hint="eastAsia" w:ascii="仿宋" w:hAnsi="仿宋" w:eastAsia="仿宋" w:cs="仿宋"/>
          <w:color w:val="FF0000"/>
          <w:sz w:val="32"/>
          <w:szCs w:val="32"/>
          <w:highlight w:val="none"/>
        </w:rPr>
        <w:t>细胞毒</w:t>
      </w:r>
      <w:r>
        <w:rPr>
          <w:rFonts w:hint="eastAsia" w:ascii="仿宋" w:hAnsi="仿宋" w:eastAsia="仿宋" w:cs="仿宋"/>
          <w:color w:val="FF0000"/>
          <w:sz w:val="32"/>
          <w:szCs w:val="32"/>
          <w:highlight w:val="none"/>
          <w:lang w:eastAsia="zh-CN"/>
        </w:rPr>
        <w:t>性</w:t>
      </w:r>
      <w:r>
        <w:rPr>
          <w:rFonts w:hint="eastAsia" w:ascii="仿宋" w:hAnsi="仿宋" w:eastAsia="仿宋" w:cs="仿宋"/>
          <w:color w:val="FF0000"/>
          <w:sz w:val="32"/>
          <w:szCs w:val="32"/>
          <w:highlight w:val="none"/>
        </w:rPr>
        <w:t>、</w:t>
      </w:r>
      <w:r>
        <w:rPr>
          <w:rFonts w:hint="eastAsia" w:ascii="仿宋" w:hAnsi="仿宋" w:eastAsia="仿宋" w:cs="仿宋"/>
          <w:color w:val="FF0000"/>
          <w:sz w:val="32"/>
          <w:szCs w:val="32"/>
          <w:highlight w:val="none"/>
          <w:lang w:eastAsia="zh-CN"/>
        </w:rPr>
        <w:t>皮肤</w:t>
      </w:r>
      <w:r>
        <w:rPr>
          <w:rFonts w:hint="eastAsia" w:ascii="仿宋" w:hAnsi="仿宋" w:eastAsia="仿宋" w:cs="仿宋"/>
          <w:color w:val="FF0000"/>
          <w:sz w:val="32"/>
          <w:szCs w:val="32"/>
          <w:highlight w:val="none"/>
        </w:rPr>
        <w:t>刺激、</w:t>
      </w:r>
      <w:r>
        <w:rPr>
          <w:rFonts w:hint="eastAsia" w:ascii="仿宋" w:hAnsi="仿宋" w:eastAsia="仿宋" w:cs="仿宋"/>
          <w:color w:val="FF0000"/>
          <w:sz w:val="32"/>
          <w:szCs w:val="32"/>
          <w:highlight w:val="none"/>
          <w:lang w:eastAsia="zh-CN"/>
        </w:rPr>
        <w:t>皮肤</w:t>
      </w:r>
      <w:r>
        <w:rPr>
          <w:rFonts w:hint="eastAsia" w:ascii="仿宋" w:hAnsi="仿宋" w:eastAsia="仿宋" w:cs="仿宋"/>
          <w:color w:val="FF0000"/>
          <w:sz w:val="32"/>
          <w:szCs w:val="32"/>
          <w:highlight w:val="none"/>
        </w:rPr>
        <w:t>致</w:t>
      </w:r>
      <w:r>
        <w:rPr>
          <w:rFonts w:hint="eastAsia" w:ascii="仿宋" w:hAnsi="仿宋" w:eastAsia="仿宋" w:cs="仿宋"/>
          <w:color w:val="FF0000"/>
          <w:sz w:val="32"/>
          <w:szCs w:val="32"/>
        </w:rPr>
        <w:t>敏</w:t>
      </w:r>
      <w:r>
        <w:rPr>
          <w:rFonts w:hint="eastAsia" w:ascii="仿宋" w:hAnsi="仿宋" w:eastAsia="仿宋" w:cs="仿宋"/>
          <w:color w:val="000000"/>
          <w:sz w:val="32"/>
          <w:szCs w:val="32"/>
        </w:rPr>
        <w:t>的生物学评价研究</w:t>
      </w:r>
      <w:r>
        <w:rPr>
          <w:rFonts w:hint="eastAsia" w:ascii="仿宋" w:hAnsi="仿宋" w:eastAsia="仿宋" w:cs="仿宋"/>
          <w:color w:val="000000"/>
          <w:sz w:val="32"/>
          <w:szCs w:val="32"/>
          <w:lang w:eastAsia="zh-CN"/>
        </w:rPr>
        <w:t>。</w:t>
      </w:r>
    </w:p>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lang w:eastAsia="zh-CN"/>
        </w:rPr>
      </w:pPr>
      <w:r>
        <w:rPr>
          <w:rFonts w:hint="eastAsia" w:ascii="Times New Roman" w:hAnsi="Times New Roman" w:eastAsia="仿宋_GB2312" w:cs="Times New Roman"/>
          <w:snapToGrid w:val="0"/>
          <w:kern w:val="0"/>
          <w:sz w:val="32"/>
          <w:szCs w:val="32"/>
          <w:lang w:val="en-US" w:eastAsia="zh-CN" w:bidi="ar-SA"/>
        </w:rPr>
        <w:t>b.</w:t>
      </w:r>
      <w:r>
        <w:rPr>
          <w:rFonts w:hint="eastAsia" w:ascii="仿宋" w:hAnsi="仿宋" w:eastAsia="仿宋" w:cs="仿宋"/>
          <w:color w:val="000000"/>
          <w:sz w:val="32"/>
          <w:szCs w:val="32"/>
          <w:lang w:val="en-US" w:eastAsia="zh-CN"/>
        </w:rPr>
        <w:t>如</w:t>
      </w:r>
      <w:r>
        <w:rPr>
          <w:rFonts w:hint="eastAsia" w:ascii="仿宋" w:hAnsi="仿宋" w:eastAsia="仿宋" w:cs="仿宋"/>
          <w:color w:val="FF0000"/>
          <w:sz w:val="32"/>
          <w:szCs w:val="32"/>
          <w:lang w:val="en-US" w:eastAsia="zh-CN"/>
        </w:rPr>
        <w:t>申报企业</w:t>
      </w:r>
      <w:r>
        <w:rPr>
          <w:rFonts w:hint="eastAsia" w:ascii="仿宋" w:hAnsi="仿宋" w:eastAsia="仿宋" w:cs="仿宋"/>
          <w:color w:val="000000"/>
          <w:sz w:val="32"/>
          <w:szCs w:val="32"/>
          <w:lang w:val="en-US" w:eastAsia="zh-CN"/>
        </w:rPr>
        <w:t>生产有手术衣、手术单、防护服等与手术帽原材料、生产工艺、包装材料一致的产品，若</w:t>
      </w:r>
      <w:r>
        <w:rPr>
          <w:rFonts w:hint="eastAsia" w:ascii="仿宋" w:hAnsi="仿宋" w:eastAsia="仿宋" w:cs="仿宋"/>
          <w:color w:val="000000"/>
          <w:sz w:val="32"/>
          <w:szCs w:val="32"/>
          <w:lang w:eastAsia="zh-CN"/>
        </w:rPr>
        <w:t>生物学试验报告结果符合生物学评价要求，可用于评价一次性使用手术帽的生物安全性。</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sz w:val="32"/>
          <w:szCs w:val="32"/>
          <w:lang w:val="en-US" w:eastAsia="zh-CN"/>
        </w:rPr>
      </w:pPr>
      <w:r>
        <w:rPr>
          <w:rFonts w:hint="eastAsia" w:ascii="Times New Roman" w:hAnsi="Times New Roman" w:eastAsia="仿宋_GB2312" w:cs="Times New Roman"/>
          <w:snapToGrid w:val="0"/>
          <w:kern w:val="0"/>
          <w:sz w:val="32"/>
          <w:szCs w:val="32"/>
          <w:lang w:val="en-US" w:eastAsia="zh-CN" w:bidi="ar-SA"/>
        </w:rPr>
        <w:t>c.</w:t>
      </w:r>
      <w:r>
        <w:rPr>
          <w:rFonts w:hint="eastAsia" w:ascii="仿宋" w:hAnsi="仿宋" w:eastAsia="仿宋" w:cs="仿宋"/>
          <w:color w:val="000000"/>
          <w:sz w:val="32"/>
          <w:szCs w:val="32"/>
          <w:lang w:val="en-US" w:eastAsia="zh-CN"/>
        </w:rPr>
        <w:t>如</w:t>
      </w:r>
      <w:r>
        <w:rPr>
          <w:rFonts w:hint="eastAsia" w:ascii="仿宋" w:hAnsi="仿宋" w:eastAsia="仿宋" w:cs="仿宋"/>
          <w:sz w:val="32"/>
          <w:szCs w:val="32"/>
          <w:lang w:eastAsia="zh-CN"/>
        </w:rPr>
        <w:t>开展申报产品与</w:t>
      </w:r>
      <w:r>
        <w:rPr>
          <w:rFonts w:hint="eastAsia" w:ascii="仿宋" w:hAnsi="仿宋" w:eastAsia="仿宋" w:cs="仿宋"/>
          <w:sz w:val="32"/>
          <w:szCs w:val="32"/>
        </w:rPr>
        <w:t>市售产品的等同性比较</w:t>
      </w:r>
      <w:r>
        <w:rPr>
          <w:rFonts w:hint="eastAsia" w:ascii="仿宋" w:hAnsi="仿宋" w:eastAsia="仿宋" w:cs="仿宋"/>
          <w:sz w:val="32"/>
          <w:szCs w:val="32"/>
          <w:lang w:eastAsia="zh-CN"/>
        </w:rPr>
        <w:t>的</w:t>
      </w:r>
      <w:r>
        <w:rPr>
          <w:rFonts w:hint="eastAsia" w:ascii="仿宋" w:hAnsi="仿宋" w:eastAsia="仿宋" w:cs="仿宋"/>
          <w:sz w:val="32"/>
          <w:szCs w:val="32"/>
        </w:rPr>
        <w:t>生物相容性评价</w:t>
      </w:r>
      <w:r>
        <w:rPr>
          <w:rFonts w:hint="eastAsia" w:ascii="仿宋" w:hAnsi="仿宋" w:eastAsia="仿宋" w:cs="仿宋"/>
          <w:sz w:val="32"/>
          <w:szCs w:val="32"/>
          <w:lang w:eastAsia="zh-CN"/>
        </w:rPr>
        <w:t>，应</w:t>
      </w:r>
      <w:r>
        <w:rPr>
          <w:rFonts w:hint="eastAsia" w:ascii="仿宋" w:hAnsi="仿宋" w:eastAsia="仿宋" w:cs="仿宋"/>
          <w:sz w:val="32"/>
          <w:szCs w:val="32"/>
        </w:rPr>
        <w:t>按照《关于印发医疗器械生物学评价和审查指南的通知》</w:t>
      </w:r>
      <w:r>
        <w:rPr>
          <w:rFonts w:hint="eastAsia" w:ascii="仿宋" w:hAnsi="仿宋" w:eastAsia="仿宋" w:cs="仿宋"/>
          <w:color w:val="auto"/>
          <w:sz w:val="32"/>
          <w:szCs w:val="32"/>
        </w:rPr>
        <w:t>要求进行评价，应提供资料证明申报产品与已上市产品具有等同性</w:t>
      </w:r>
      <w:r>
        <w:rPr>
          <w:rFonts w:hint="eastAsia" w:ascii="仿宋" w:hAnsi="仿宋" w:eastAsia="仿宋" w:cs="仿宋"/>
          <w:color w:val="auto"/>
          <w:sz w:val="32"/>
          <w:szCs w:val="32"/>
          <w:lang w:eastAsia="zh-CN"/>
        </w:rPr>
        <w:t>。</w:t>
      </w:r>
    </w:p>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灭菌工艺研究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参考GB 18280</w:t>
      </w: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《医疗保健产品灭菌 辐射 第1部分：医疗器械灭菌过程的开发、确认和常规控制要求》、GB 18279</w:t>
      </w: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《医疗保健产品灭菌 环氧乙烷 第1部分：医疗器械灭菌过程的开发、确认和常规控制的要求》和GB/T 16886.7《医疗器械生物学评价第7部分：环氧乙烷灭菌残留量》等相应规定，提交产品包装及灭菌方法选择的依据，经过确认并进行常规控制，并应开展以下方面的确认：</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19" w:firstLineChars="131"/>
        <w:textAlignment w:val="auto"/>
        <w:rPr>
          <w:rFonts w:hint="eastAsia" w:ascii="仿宋" w:hAnsi="仿宋" w:eastAsia="仿宋" w:cs="仿宋"/>
          <w:color w:val="000000"/>
          <w:sz w:val="32"/>
          <w:szCs w:val="32"/>
        </w:rPr>
      </w:pPr>
      <w:r>
        <w:rPr>
          <w:rFonts w:hint="eastAsia" w:ascii="Times New Roman" w:hAnsi="Times New Roman" w:eastAsia="仿宋_GB2312" w:cs="Times New Roman"/>
          <w:snapToGrid w:val="0"/>
          <w:kern w:val="0"/>
          <w:sz w:val="32"/>
          <w:szCs w:val="32"/>
          <w:lang w:val="en-US" w:eastAsia="zh-CN" w:bidi="ar-SA"/>
        </w:rPr>
        <w:t>a.</w:t>
      </w:r>
      <w:r>
        <w:rPr>
          <w:rFonts w:hint="eastAsia" w:ascii="仿宋" w:hAnsi="仿宋" w:eastAsia="仿宋" w:cs="仿宋"/>
          <w:color w:val="000000"/>
          <w:sz w:val="32"/>
          <w:szCs w:val="32"/>
        </w:rPr>
        <w:t>产品与灭菌过程的适应性：应考察</w:t>
      </w:r>
      <w:r>
        <w:rPr>
          <w:rFonts w:hint="eastAsia" w:ascii="仿宋" w:hAnsi="仿宋" w:eastAsia="仿宋" w:cs="仿宋"/>
          <w:color w:val="FF0000"/>
          <w:sz w:val="32"/>
          <w:szCs w:val="32"/>
          <w:lang w:eastAsia="zh-CN"/>
        </w:rPr>
        <w:t>灭菌方式、灭菌工艺</w:t>
      </w:r>
      <w:r>
        <w:rPr>
          <w:rFonts w:hint="eastAsia" w:ascii="仿宋" w:hAnsi="仿宋" w:eastAsia="仿宋" w:cs="仿宋"/>
          <w:color w:val="000000"/>
          <w:sz w:val="32"/>
          <w:szCs w:val="32"/>
          <w:lang w:eastAsia="zh-CN"/>
        </w:rPr>
        <w:t>过程</w:t>
      </w:r>
      <w:r>
        <w:rPr>
          <w:rFonts w:hint="eastAsia" w:ascii="仿宋" w:hAnsi="仿宋" w:eastAsia="仿宋" w:cs="仿宋"/>
          <w:color w:val="000000"/>
          <w:sz w:val="32"/>
          <w:szCs w:val="32"/>
        </w:rPr>
        <w:t>过程对于</w:t>
      </w:r>
      <w:r>
        <w:rPr>
          <w:rFonts w:hint="eastAsia" w:ascii="仿宋" w:hAnsi="仿宋" w:eastAsia="仿宋" w:cs="仿宋"/>
          <w:color w:val="000000"/>
          <w:sz w:val="32"/>
          <w:szCs w:val="32"/>
          <w:lang w:eastAsia="zh-CN"/>
        </w:rPr>
        <w:t>一次性使用手术帽</w:t>
      </w:r>
      <w:r>
        <w:rPr>
          <w:rFonts w:hint="eastAsia" w:ascii="仿宋" w:hAnsi="仿宋" w:eastAsia="仿宋" w:cs="仿宋"/>
          <w:color w:val="000000"/>
          <w:sz w:val="32"/>
          <w:szCs w:val="32"/>
        </w:rPr>
        <w:t>的影响。</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19" w:firstLineChars="131"/>
        <w:textAlignment w:val="auto"/>
        <w:rPr>
          <w:rFonts w:hint="eastAsia" w:ascii="仿宋" w:hAnsi="仿宋" w:eastAsia="仿宋" w:cs="仿宋"/>
          <w:color w:val="000000"/>
          <w:sz w:val="32"/>
          <w:szCs w:val="32"/>
        </w:rPr>
      </w:pPr>
      <w:r>
        <w:rPr>
          <w:rFonts w:hint="eastAsia" w:ascii="Times New Roman" w:hAnsi="Times New Roman" w:eastAsia="仿宋_GB2312" w:cs="Times New Roman"/>
          <w:snapToGrid w:val="0"/>
          <w:kern w:val="0"/>
          <w:sz w:val="32"/>
          <w:szCs w:val="32"/>
          <w:lang w:val="en-US" w:eastAsia="zh-CN" w:bidi="ar-SA"/>
        </w:rPr>
        <w:t>b.</w:t>
      </w:r>
      <w:r>
        <w:rPr>
          <w:rFonts w:hint="eastAsia" w:ascii="仿宋" w:hAnsi="仿宋" w:eastAsia="仿宋" w:cs="仿宋"/>
          <w:color w:val="000000"/>
          <w:sz w:val="32"/>
          <w:szCs w:val="32"/>
        </w:rPr>
        <w:t>包装与灭菌过程的适应性。</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19" w:firstLineChars="131"/>
        <w:textAlignment w:val="auto"/>
        <w:rPr>
          <w:rFonts w:hint="eastAsia" w:ascii="仿宋" w:hAnsi="仿宋" w:eastAsia="仿宋" w:cs="仿宋"/>
          <w:color w:val="000000"/>
          <w:sz w:val="32"/>
          <w:szCs w:val="32"/>
        </w:rPr>
      </w:pPr>
      <w:r>
        <w:rPr>
          <w:rFonts w:hint="eastAsia" w:ascii="Times New Roman" w:hAnsi="Times New Roman" w:eastAsia="仿宋_GB2312" w:cs="Times New Roman"/>
          <w:snapToGrid w:val="0"/>
          <w:kern w:val="0"/>
          <w:sz w:val="32"/>
          <w:szCs w:val="32"/>
          <w:lang w:val="en-US" w:eastAsia="zh-CN" w:bidi="ar-SA"/>
        </w:rPr>
        <w:t>c.</w:t>
      </w:r>
      <w:r>
        <w:rPr>
          <w:rFonts w:hint="eastAsia" w:ascii="仿宋" w:hAnsi="仿宋" w:eastAsia="仿宋" w:cs="仿宋"/>
          <w:color w:val="000000"/>
          <w:sz w:val="32"/>
          <w:szCs w:val="32"/>
        </w:rPr>
        <w:t>应明确灭菌工艺（方法和参数）和无菌保证水平（SAL），并提供灭菌确认报告。无菌保证水平（SAL）应达到1×10</w:t>
      </w:r>
      <w:r>
        <w:rPr>
          <w:rFonts w:hint="eastAsia" w:ascii="仿宋" w:hAnsi="仿宋" w:eastAsia="仿宋" w:cs="仿宋"/>
          <w:color w:val="000000"/>
          <w:sz w:val="32"/>
          <w:szCs w:val="32"/>
          <w:vertAlign w:val="superscript"/>
          <w:lang w:val="en-US" w:eastAsia="zh-CN"/>
        </w:rPr>
        <w:t>-6</w:t>
      </w:r>
      <w:r>
        <w:rPr>
          <w:rFonts w:hint="eastAsia" w:ascii="仿宋" w:hAnsi="仿宋" w:eastAsia="仿宋" w:cs="仿宋"/>
          <w:color w:val="000000"/>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19" w:firstLineChars="131"/>
        <w:textAlignment w:val="auto"/>
        <w:rPr>
          <w:rFonts w:hint="eastAsia" w:ascii="仿宋" w:hAnsi="仿宋" w:eastAsia="仿宋" w:cs="仿宋"/>
          <w:color w:val="000000"/>
          <w:sz w:val="32"/>
          <w:szCs w:val="32"/>
        </w:rPr>
      </w:pPr>
      <w:r>
        <w:rPr>
          <w:rFonts w:hint="eastAsia" w:eastAsia="仿宋_GB2312" w:cs="Times New Roman"/>
          <w:snapToGrid w:val="0"/>
          <w:kern w:val="0"/>
          <w:sz w:val="32"/>
          <w:szCs w:val="32"/>
          <w:lang w:val="en-US" w:eastAsia="zh-CN" w:bidi="ar-SA"/>
        </w:rPr>
        <w:t>d</w:t>
      </w:r>
      <w:r>
        <w:rPr>
          <w:rFonts w:hint="eastAsia" w:ascii="Times New Roman" w:hAnsi="Times New Roman" w:eastAsia="仿宋_GB2312" w:cs="Times New Roman"/>
          <w:snapToGrid w:val="0"/>
          <w:kern w:val="0"/>
          <w:sz w:val="32"/>
          <w:szCs w:val="32"/>
          <w:lang w:val="en-US" w:eastAsia="zh-CN" w:bidi="ar-SA"/>
        </w:rPr>
        <w:t>.</w:t>
      </w:r>
      <w:r>
        <w:rPr>
          <w:rFonts w:hint="eastAsia" w:ascii="仿宋" w:hAnsi="仿宋" w:eastAsia="仿宋" w:cs="仿宋"/>
          <w:color w:val="000000"/>
          <w:sz w:val="32"/>
          <w:szCs w:val="32"/>
        </w:rPr>
        <w:t>残留毒性：若灭菌使用的方法容易出现残留，如环氧乙烷灭菌，应当明确残留物信息及采取的处理方法，并提供</w:t>
      </w:r>
      <w:r>
        <w:rPr>
          <w:rFonts w:hint="eastAsia" w:ascii="仿宋" w:hAnsi="仿宋" w:eastAsia="仿宋" w:cs="仿宋"/>
          <w:color w:val="000000"/>
          <w:sz w:val="32"/>
          <w:szCs w:val="32"/>
          <w:lang w:eastAsia="zh-CN"/>
        </w:rPr>
        <w:t>环氧乙烷解析的</w:t>
      </w:r>
      <w:r>
        <w:rPr>
          <w:rFonts w:hint="eastAsia" w:ascii="仿宋" w:hAnsi="仿宋" w:eastAsia="仿宋" w:cs="仿宋"/>
          <w:color w:val="000000"/>
          <w:sz w:val="32"/>
          <w:szCs w:val="32"/>
        </w:rPr>
        <w:t>研究资料。</w:t>
      </w:r>
    </w:p>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(5)有</w:t>
      </w:r>
      <w:r>
        <w:rPr>
          <w:rFonts w:hint="eastAsia" w:ascii="仿宋" w:hAnsi="仿宋" w:eastAsia="仿宋" w:cs="仿宋"/>
          <w:color w:val="000000"/>
          <w:sz w:val="32"/>
          <w:szCs w:val="32"/>
        </w:rPr>
        <w:t>效期和包装研究</w:t>
      </w:r>
    </w:p>
    <w:p>
      <w:pPr>
        <w:pStyle w:val="4"/>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ascii="Times New Roman" w:hAnsi="Times New Roman" w:eastAsia="仿宋_GB2312" w:cs="Times New Roman"/>
          <w:snapToGrid w:val="0"/>
          <w:kern w:val="0"/>
          <w:sz w:val="32"/>
          <w:szCs w:val="32"/>
          <w:lang w:val="en-US" w:eastAsia="zh-CN" w:bidi="ar-SA"/>
        </w:rPr>
        <w:t>a.</w:t>
      </w:r>
      <w:r>
        <w:rPr>
          <w:rFonts w:hint="eastAsia"/>
        </w:rPr>
        <w:t>有效期研究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有效期包括产品有效期和包装有效期。产品有效期验证可采用实时或加速老化的研究。实时老化的研究是唯一能够反映产品在规定储存条件下实际稳定性要求的方法，应遵循极限试验和过载试验原则。建议以加速老化试验来对产</w:t>
      </w:r>
      <w:r>
        <w:rPr>
          <w:rFonts w:hint="eastAsia" w:ascii="仿宋" w:hAnsi="仿宋" w:eastAsia="仿宋" w:cs="仿宋"/>
          <w:color w:val="auto"/>
          <w:sz w:val="32"/>
          <w:szCs w:val="32"/>
        </w:rPr>
        <w:t>品效期进行先期研究和预测，并适时启动实时老化试验对产品效期做进一步的</w:t>
      </w:r>
      <w:r>
        <w:rPr>
          <w:rFonts w:hint="eastAsia" w:ascii="仿宋" w:hAnsi="仿宋" w:eastAsia="仿宋" w:cs="仿宋"/>
          <w:color w:val="000000"/>
          <w:sz w:val="32"/>
          <w:szCs w:val="32"/>
        </w:rPr>
        <w:t>后续研究和</w:t>
      </w:r>
      <w:r>
        <w:rPr>
          <w:rFonts w:hint="eastAsia" w:ascii="仿宋" w:hAnsi="仿宋" w:eastAsia="仿宋" w:cs="仿宋"/>
          <w:color w:val="000000"/>
          <w:sz w:val="32"/>
          <w:szCs w:val="32"/>
          <w:lang w:eastAsia="zh-CN"/>
        </w:rPr>
        <w:t>确认，</w:t>
      </w:r>
      <w:r>
        <w:rPr>
          <w:rFonts w:hint="eastAsia" w:ascii="仿宋" w:hAnsi="仿宋" w:eastAsia="仿宋" w:cs="仿宋"/>
          <w:color w:val="FF0000"/>
          <w:sz w:val="32"/>
          <w:szCs w:val="32"/>
          <w:lang w:val="en-US" w:eastAsia="zh-CN"/>
        </w:rPr>
        <w:t>当加速老化与实时老化结果不一致时，应以实时老化结果为准</w:t>
      </w:r>
      <w:r>
        <w:rPr>
          <w:rFonts w:hint="eastAsia" w:ascii="仿宋" w:hAnsi="仿宋" w:eastAsia="仿宋" w:cs="仿宋"/>
          <w:color w:val="000000"/>
          <w:sz w:val="32"/>
          <w:szCs w:val="32"/>
        </w:rPr>
        <w:t>。加速老化研究试验的具体要求可参考YY/T 0681和YY/T 0698系列标准、GB/T 19633</w:t>
      </w:r>
      <w:r>
        <w:rPr>
          <w:rFonts w:hint="eastAsia" w:ascii="仿宋" w:hAnsi="仿宋" w:eastAsia="仿宋" w:cs="仿宋"/>
          <w:color w:val="000000"/>
          <w:sz w:val="32"/>
          <w:szCs w:val="32"/>
          <w:lang w:eastAsia="zh-CN"/>
        </w:rPr>
        <w:t>系列标准</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应重点关注</w:t>
      </w:r>
      <w:r>
        <w:rPr>
          <w:rFonts w:hint="eastAsia" w:ascii="仿宋" w:hAnsi="仿宋" w:eastAsia="仿宋" w:cs="仿宋"/>
          <w:color w:val="000000"/>
          <w:sz w:val="32"/>
          <w:szCs w:val="32"/>
        </w:rPr>
        <w:t>时间逻辑和相应的加速老化规范要求，</w:t>
      </w:r>
      <w:r>
        <w:rPr>
          <w:rFonts w:hint="eastAsia" w:ascii="仿宋" w:hAnsi="仿宋" w:eastAsia="仿宋" w:cs="仿宋"/>
          <w:color w:val="000000"/>
          <w:sz w:val="32"/>
          <w:szCs w:val="32"/>
          <w:lang w:val="en-US" w:eastAsia="zh-CN"/>
        </w:rPr>
        <w:t>建议设计多个时间点，最后一个时间点应晚于所设定的货架寿命的时间点</w:t>
      </w:r>
      <w:r>
        <w:rPr>
          <w:rFonts w:hint="eastAsia" w:ascii="仿宋" w:hAnsi="仿宋" w:eastAsia="仿宋" w:cs="仿宋"/>
          <w:color w:val="00000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对于包装的有效期验证，</w:t>
      </w:r>
      <w:r>
        <w:rPr>
          <w:rFonts w:hint="eastAsia" w:ascii="仿宋" w:hAnsi="仿宋" w:eastAsia="仿宋" w:cs="仿宋"/>
          <w:color w:val="000000"/>
          <w:sz w:val="32"/>
          <w:szCs w:val="32"/>
          <w:lang w:eastAsia="zh-CN"/>
        </w:rPr>
        <w:t>所验证的包装材料应包括送检样品的包装材质，</w:t>
      </w:r>
      <w:r>
        <w:rPr>
          <w:rFonts w:hint="eastAsia" w:ascii="仿宋" w:hAnsi="仿宋" w:eastAsia="仿宋" w:cs="仿宋"/>
          <w:color w:val="000000"/>
          <w:sz w:val="32"/>
          <w:szCs w:val="32"/>
        </w:rPr>
        <w:t>建议申请人提交</w:t>
      </w:r>
      <w:r>
        <w:rPr>
          <w:rFonts w:hint="eastAsia" w:ascii="仿宋" w:hAnsi="仿宋" w:eastAsia="仿宋" w:cs="仿宋"/>
          <w:color w:val="000000"/>
          <w:sz w:val="32"/>
          <w:szCs w:val="32"/>
          <w:lang w:eastAsia="zh-CN"/>
        </w:rPr>
        <w:t>所</w:t>
      </w:r>
      <w:r>
        <w:rPr>
          <w:rFonts w:hint="eastAsia" w:ascii="仿宋" w:hAnsi="仿宋" w:eastAsia="仿宋" w:cs="仿宋"/>
          <w:color w:val="000000"/>
          <w:sz w:val="32"/>
          <w:szCs w:val="32"/>
        </w:rPr>
        <w:t>选择最终成品包装的初始完整性和维持完整性的检测结果。对于在加速老化研究中可能导致产品变性而不适于选择加速老化试验方法研究其包装的有效期验证，应以实时老化方法测定和验证。</w:t>
      </w:r>
    </w:p>
    <w:p>
      <w:pPr>
        <w:pStyle w:val="4"/>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r>
        <w:rPr>
          <w:rFonts w:hint="eastAsia" w:ascii="Times New Roman" w:hAnsi="Times New Roman" w:eastAsia="仿宋_GB2312" w:cs="Times New Roman"/>
          <w:snapToGrid w:val="0"/>
          <w:kern w:val="0"/>
          <w:sz w:val="32"/>
          <w:szCs w:val="32"/>
          <w:lang w:val="en-US" w:eastAsia="zh-CN" w:bidi="ar-SA"/>
        </w:rPr>
        <w:t>b.</w:t>
      </w:r>
      <w:r>
        <w:rPr>
          <w:rFonts w:hint="eastAsia"/>
        </w:rPr>
        <w:t>包装及包装完整性：</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eastAsia="zh-CN"/>
        </w:rPr>
        <w:t>应提供</w:t>
      </w:r>
      <w:r>
        <w:rPr>
          <w:rFonts w:hint="eastAsia" w:ascii="仿宋" w:hAnsi="仿宋" w:eastAsia="仿宋" w:cs="仿宋"/>
          <w:color w:val="000000"/>
          <w:sz w:val="32"/>
          <w:szCs w:val="32"/>
        </w:rPr>
        <w:t>在宣称的有效期内以及运输储存条件下，保持包装完整性的依据。包装验证</w:t>
      </w:r>
      <w:r>
        <w:rPr>
          <w:rFonts w:hint="eastAsia" w:ascii="仿宋" w:hAnsi="仿宋" w:eastAsia="仿宋" w:cs="仿宋"/>
          <w:color w:val="000000"/>
          <w:sz w:val="32"/>
          <w:szCs w:val="32"/>
          <w:lang w:eastAsia="zh-CN"/>
        </w:rPr>
        <w:t>资料应包括</w:t>
      </w:r>
      <w:r>
        <w:rPr>
          <w:rFonts w:hint="eastAsia" w:ascii="仿宋" w:hAnsi="仿宋" w:eastAsia="仿宋" w:cs="仿宋"/>
          <w:color w:val="000000"/>
          <w:sz w:val="32"/>
          <w:szCs w:val="32"/>
        </w:rPr>
        <w:t>封口试验及包材对灭菌的适应性验证。</w:t>
      </w:r>
    </w:p>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highlight w:val="yellow"/>
        </w:rPr>
      </w:pPr>
      <w:r>
        <w:rPr>
          <w:rFonts w:hint="eastAsia" w:ascii="仿宋" w:hAnsi="仿宋" w:eastAsia="仿宋" w:cs="仿宋"/>
          <w:color w:val="000000"/>
          <w:sz w:val="32"/>
          <w:szCs w:val="32"/>
        </w:rPr>
        <w:t>产品包装验证可依据GB/T 19633系列标准</w:t>
      </w:r>
      <w:r>
        <w:rPr>
          <w:rFonts w:hint="eastAsia" w:ascii="仿宋" w:hAnsi="仿宋" w:eastAsia="仿宋" w:cs="仿宋"/>
          <w:color w:val="000000"/>
          <w:sz w:val="32"/>
          <w:szCs w:val="32"/>
          <w:lang w:eastAsia="zh-CN"/>
        </w:rPr>
        <w:t>对</w:t>
      </w:r>
      <w:r>
        <w:rPr>
          <w:rFonts w:hint="eastAsia" w:ascii="仿宋" w:hAnsi="仿宋" w:eastAsia="仿宋" w:cs="仿宋"/>
          <w:color w:val="000000"/>
          <w:sz w:val="32"/>
          <w:szCs w:val="32"/>
        </w:rPr>
        <w:t>包装</w:t>
      </w:r>
      <w:r>
        <w:rPr>
          <w:rFonts w:hint="eastAsia" w:ascii="仿宋" w:hAnsi="仿宋" w:eastAsia="仿宋" w:cs="仿宋"/>
          <w:color w:val="000000"/>
          <w:sz w:val="32"/>
          <w:szCs w:val="32"/>
          <w:lang w:eastAsia="zh-CN"/>
        </w:rPr>
        <w:t>进行分析研究和评价。</w:t>
      </w:r>
      <w:r>
        <w:rPr>
          <w:rFonts w:hint="eastAsia" w:ascii="仿宋" w:hAnsi="仿宋" w:eastAsia="仿宋" w:cs="仿宋"/>
          <w:color w:val="000000"/>
          <w:sz w:val="32"/>
          <w:szCs w:val="32"/>
          <w:highlight w:val="none"/>
        </w:rPr>
        <w:t>直接接触产品的包装材料的选择应至少考虑以下因素：包装材料的物理化学性能；包装材料的毒理学特性；包装材料与产品的适应性；包装材料与成型和密封过程的适应性；包装材料与灭菌或洁净控制过程的适应性；包装材料所能提供的物理、化学和微生物屏障保护；包装材料与使用者使用时的要求（如无菌开启）的适应性；包装材料与标签系统的适应性；包装材料与贮存运输过程的适应性。</w:t>
      </w:r>
    </w:p>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(6)其他资料</w:t>
      </w:r>
    </w:p>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_GB2312"/>
          <w:color w:val="000000"/>
          <w:sz w:val="28"/>
          <w:szCs w:val="28"/>
          <w:lang w:val="en-US" w:eastAsia="zh-CN"/>
        </w:rPr>
      </w:pPr>
      <w:r>
        <w:rPr>
          <w:rFonts w:hint="eastAsia" w:ascii="仿宋" w:hAnsi="仿宋" w:eastAsia="仿宋" w:cs="仿宋"/>
          <w:color w:val="000000"/>
          <w:sz w:val="32"/>
          <w:szCs w:val="32"/>
          <w:lang w:val="en-US" w:eastAsia="zh-CN"/>
        </w:rPr>
        <w:t>结合申报产品的特点，证明产品安全性、有效性的其他研究资料。</w:t>
      </w:r>
    </w:p>
    <w:p>
      <w:pPr>
        <w:pStyle w:val="4"/>
        <w:keepNext w:val="0"/>
        <w:keepLines w:val="0"/>
        <w:pageBreakBefore w:val="0"/>
        <w:kinsoku/>
        <w:wordWrap/>
        <w:topLinePunct w:val="0"/>
        <w:bidi w:val="0"/>
        <w:snapToGrid/>
        <w:spacing w:line="520" w:lineRule="exact"/>
        <w:textAlignment w:val="auto"/>
        <w:rPr>
          <w:rFonts w:hint="eastAsia"/>
          <w:lang w:val="en-US" w:eastAsia="zh-CN"/>
        </w:rPr>
      </w:pPr>
      <w:r>
        <w:rPr>
          <w:rFonts w:hint="eastAsia"/>
          <w:lang w:val="en-US" w:eastAsia="zh-CN"/>
        </w:rPr>
        <w:t>2.风险管理</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kern w:val="0"/>
          <w:sz w:val="32"/>
          <w:szCs w:val="32"/>
          <w:lang w:val="zh-CN"/>
        </w:rPr>
      </w:pPr>
      <w:r>
        <w:rPr>
          <w:rFonts w:eastAsia="仿宋_GB2312"/>
          <w:snapToGrid w:val="0"/>
          <w:kern w:val="0"/>
          <w:sz w:val="32"/>
          <w:szCs w:val="32"/>
        </w:rPr>
        <w:t>应依据YY/T 0316《医疗器械风险管理对医疗器械的应用》</w:t>
      </w:r>
      <w:r>
        <w:rPr>
          <w:rFonts w:hint="eastAsia" w:eastAsia="仿宋_GB2312"/>
          <w:snapToGrid w:val="0"/>
          <w:kern w:val="0"/>
          <w:sz w:val="32"/>
          <w:szCs w:val="32"/>
        </w:rPr>
        <w:t>，</w:t>
      </w:r>
      <w:r>
        <w:rPr>
          <w:rFonts w:eastAsia="仿宋_GB2312"/>
          <w:snapToGrid w:val="0"/>
          <w:kern w:val="0"/>
          <w:sz w:val="32"/>
          <w:szCs w:val="32"/>
          <w:lang w:val="zh-CN"/>
        </w:rPr>
        <w:t>提供产品风险管理报告。</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kern w:val="0"/>
          <w:sz w:val="32"/>
          <w:szCs w:val="32"/>
        </w:rPr>
      </w:pPr>
      <w:r>
        <w:rPr>
          <w:rFonts w:eastAsia="仿宋_GB2312"/>
          <w:snapToGrid w:val="0"/>
          <w:kern w:val="0"/>
          <w:sz w:val="32"/>
          <w:szCs w:val="32"/>
          <w:lang w:val="zh-CN"/>
        </w:rPr>
        <w:t>申请人应重点说明：申报产品的研制阶段已对有关可能的危害及产生的风险进行了估计和评价，针对性地实施了降低风险的技术和管理方面的措施。产品性能测试对上述措施的有效性进行了部分验证，达到了通用和专用标准的要求。申请人对所有剩余风险进行了评价，全部达到可接受的水平。产品风险分析资料应为申请人关于产品安全性的承诺提供支持。</w:t>
      </w:r>
    </w:p>
    <w:p>
      <w:pPr>
        <w:overflowPunct w:val="0"/>
        <w:autoSpaceDE w:val="0"/>
        <w:autoSpaceDN w:val="0"/>
        <w:adjustRightInd w:val="0"/>
        <w:spacing w:line="560" w:lineRule="exact"/>
        <w:ind w:firstLine="640" w:firstLineChars="200"/>
        <w:rPr>
          <w:rFonts w:eastAsia="仿宋_GB2312"/>
          <w:snapToGrid w:val="0"/>
          <w:kern w:val="0"/>
          <w:sz w:val="32"/>
          <w:szCs w:val="32"/>
          <w:lang w:val="zh-CN"/>
        </w:rPr>
      </w:pPr>
      <w:r>
        <w:rPr>
          <w:rFonts w:eastAsia="仿宋_GB2312"/>
          <w:snapToGrid w:val="0"/>
          <w:kern w:val="0"/>
          <w:sz w:val="32"/>
          <w:szCs w:val="32"/>
          <w:lang w:val="zh-CN"/>
        </w:rPr>
        <w:t>风险管理报告一般包括以下内容：</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leftChars="0" w:firstLine="640" w:firstLineChars="200"/>
        <w:jc w:val="both"/>
        <w:textAlignment w:val="auto"/>
        <w:outlineLvl w:val="2"/>
        <w:rPr>
          <w:rFonts w:ascii="Times New Roman" w:hAnsi="Times New Roman" w:eastAsia="仿宋_GB2312"/>
          <w:snapToGrid w:val="0"/>
          <w:kern w:val="0"/>
          <w:sz w:val="32"/>
          <w:szCs w:val="32"/>
          <w:lang w:val="zh-CN"/>
        </w:rPr>
      </w:pPr>
      <w:r>
        <w:rPr>
          <w:rFonts w:hint="eastAsia" w:ascii="Times New Roman" w:hAnsi="Times New Roman" w:eastAsia="仿宋_GB2312"/>
          <w:snapToGrid w:val="0"/>
          <w:kern w:val="0"/>
          <w:sz w:val="32"/>
          <w:szCs w:val="32"/>
          <w:lang w:val="zh-CN"/>
        </w:rPr>
        <w:t>（1）</w:t>
      </w:r>
      <w:r>
        <w:rPr>
          <w:rFonts w:ascii="Times New Roman" w:hAnsi="Times New Roman" w:eastAsia="仿宋_GB2312"/>
          <w:snapToGrid w:val="0"/>
          <w:kern w:val="0"/>
          <w:sz w:val="32"/>
          <w:szCs w:val="32"/>
          <w:lang w:val="zh-CN"/>
        </w:rPr>
        <w:t>申报产品的风险管理组织。</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both"/>
        <w:textAlignment w:val="auto"/>
        <w:outlineLvl w:val="2"/>
        <w:rPr>
          <w:rFonts w:ascii="Times New Roman" w:hAnsi="Times New Roman" w:eastAsia="仿宋_GB2312"/>
          <w:snapToGrid w:val="0"/>
          <w:kern w:val="0"/>
          <w:sz w:val="32"/>
          <w:szCs w:val="32"/>
          <w:lang w:val="zh-CN"/>
        </w:rPr>
      </w:pPr>
      <w:r>
        <w:rPr>
          <w:rFonts w:hint="eastAsia" w:ascii="Times New Roman" w:hAnsi="Times New Roman" w:eastAsia="仿宋_GB2312"/>
          <w:snapToGrid w:val="0"/>
          <w:kern w:val="0"/>
          <w:sz w:val="32"/>
          <w:szCs w:val="32"/>
          <w:lang w:val="zh-CN"/>
        </w:rPr>
        <w:t>（2）</w:t>
      </w:r>
      <w:r>
        <w:rPr>
          <w:rFonts w:ascii="Times New Roman" w:hAnsi="Times New Roman" w:eastAsia="仿宋_GB2312"/>
          <w:snapToGrid w:val="0"/>
          <w:kern w:val="0"/>
          <w:sz w:val="32"/>
          <w:szCs w:val="32"/>
          <w:lang w:val="zh-CN"/>
        </w:rPr>
        <w:t>申报产品的组成。</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both"/>
        <w:textAlignment w:val="auto"/>
        <w:outlineLvl w:val="2"/>
        <w:rPr>
          <w:rFonts w:ascii="Times New Roman" w:hAnsi="Times New Roman" w:eastAsia="仿宋_GB2312"/>
          <w:snapToGrid w:val="0"/>
          <w:kern w:val="0"/>
          <w:sz w:val="32"/>
          <w:szCs w:val="32"/>
          <w:lang w:val="zh-CN"/>
        </w:rPr>
      </w:pPr>
      <w:r>
        <w:rPr>
          <w:rFonts w:hint="eastAsia" w:ascii="Times New Roman" w:hAnsi="Times New Roman" w:eastAsia="仿宋_GB2312"/>
          <w:snapToGrid w:val="0"/>
          <w:kern w:val="0"/>
          <w:sz w:val="32"/>
          <w:szCs w:val="32"/>
          <w:lang w:val="zh-CN"/>
        </w:rPr>
        <w:t>（3）</w:t>
      </w:r>
      <w:r>
        <w:rPr>
          <w:rFonts w:ascii="Times New Roman" w:hAnsi="Times New Roman" w:eastAsia="仿宋_GB2312"/>
          <w:snapToGrid w:val="0"/>
          <w:kern w:val="0"/>
          <w:sz w:val="32"/>
          <w:szCs w:val="32"/>
          <w:lang w:val="zh-CN"/>
        </w:rPr>
        <w:t>申报产品符合的安全标准。</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both"/>
        <w:textAlignment w:val="auto"/>
        <w:outlineLvl w:val="2"/>
        <w:rPr>
          <w:rFonts w:ascii="Times New Roman" w:hAnsi="Times New Roman" w:eastAsia="仿宋_GB2312"/>
          <w:snapToGrid w:val="0"/>
          <w:kern w:val="0"/>
          <w:sz w:val="32"/>
          <w:szCs w:val="32"/>
          <w:lang w:val="zh-CN"/>
        </w:rPr>
      </w:pPr>
      <w:r>
        <w:rPr>
          <w:rFonts w:hint="eastAsia" w:ascii="Times New Roman" w:hAnsi="Times New Roman" w:eastAsia="仿宋_GB2312"/>
          <w:snapToGrid w:val="0"/>
          <w:kern w:val="0"/>
          <w:sz w:val="32"/>
          <w:szCs w:val="32"/>
          <w:lang w:val="zh-CN"/>
        </w:rPr>
        <w:t>（4）</w:t>
      </w:r>
      <w:r>
        <w:rPr>
          <w:rFonts w:ascii="Times New Roman" w:hAnsi="Times New Roman" w:eastAsia="仿宋_GB2312"/>
          <w:snapToGrid w:val="0"/>
          <w:kern w:val="0"/>
          <w:sz w:val="32"/>
          <w:szCs w:val="32"/>
          <w:lang w:val="zh-CN"/>
        </w:rPr>
        <w:t>申报产品的预期用途，与安全性有关的特征的判定。</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both"/>
        <w:textAlignment w:val="auto"/>
        <w:outlineLvl w:val="2"/>
        <w:rPr>
          <w:rFonts w:ascii="Times New Roman" w:hAnsi="Times New Roman" w:eastAsia="仿宋_GB2312"/>
          <w:snapToGrid w:val="0"/>
          <w:kern w:val="0"/>
          <w:sz w:val="32"/>
          <w:szCs w:val="32"/>
          <w:lang w:val="zh-CN"/>
        </w:rPr>
      </w:pPr>
      <w:r>
        <w:rPr>
          <w:rFonts w:hint="eastAsia" w:ascii="Times New Roman" w:hAnsi="Times New Roman" w:eastAsia="仿宋_GB2312"/>
          <w:snapToGrid w:val="0"/>
          <w:kern w:val="0"/>
          <w:sz w:val="32"/>
          <w:szCs w:val="32"/>
          <w:lang w:val="zh-CN"/>
        </w:rPr>
        <w:t>（5）</w:t>
      </w:r>
      <w:r>
        <w:rPr>
          <w:rFonts w:ascii="Times New Roman" w:hAnsi="Times New Roman" w:eastAsia="仿宋_GB2312"/>
          <w:snapToGrid w:val="0"/>
          <w:kern w:val="0"/>
          <w:sz w:val="32"/>
          <w:szCs w:val="32"/>
          <w:lang w:val="zh-CN"/>
        </w:rPr>
        <w:t>对申报产品的可能危害作出判定。</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both"/>
        <w:textAlignment w:val="auto"/>
        <w:outlineLvl w:val="2"/>
        <w:rPr>
          <w:rFonts w:ascii="Times New Roman" w:hAnsi="Times New Roman" w:eastAsia="仿宋_GB2312"/>
          <w:snapToGrid w:val="0"/>
          <w:kern w:val="0"/>
          <w:sz w:val="32"/>
          <w:szCs w:val="32"/>
          <w:lang w:val="zh-CN"/>
        </w:rPr>
      </w:pPr>
      <w:r>
        <w:rPr>
          <w:rFonts w:hint="eastAsia" w:ascii="Times New Roman" w:hAnsi="Times New Roman" w:eastAsia="仿宋_GB2312"/>
          <w:snapToGrid w:val="0"/>
          <w:kern w:val="0"/>
          <w:sz w:val="32"/>
          <w:szCs w:val="32"/>
          <w:lang w:val="zh-CN"/>
        </w:rPr>
        <w:t>（6）</w:t>
      </w:r>
      <w:r>
        <w:rPr>
          <w:rFonts w:ascii="Times New Roman" w:hAnsi="Times New Roman" w:eastAsia="仿宋_GB2312"/>
          <w:snapToGrid w:val="0"/>
          <w:kern w:val="0"/>
          <w:sz w:val="32"/>
          <w:szCs w:val="32"/>
          <w:lang w:val="zh-CN"/>
        </w:rPr>
        <w:t>对所判定的危害采取的降低风险的控制措施</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left"/>
        <w:textAlignment w:val="auto"/>
        <w:outlineLvl w:val="2"/>
        <w:rPr>
          <w:rFonts w:ascii="Times New Roman" w:hAnsi="Times New Roman" w:eastAsia="仿宋_GB2312"/>
          <w:snapToGrid w:val="0"/>
          <w:kern w:val="0"/>
          <w:sz w:val="32"/>
          <w:szCs w:val="32"/>
          <w:lang w:val="zh-CN"/>
        </w:rPr>
      </w:pPr>
      <w:r>
        <w:rPr>
          <w:rFonts w:hint="eastAsia" w:ascii="Times New Roman" w:hAnsi="Times New Roman" w:eastAsia="仿宋_GB2312"/>
          <w:snapToGrid w:val="0"/>
          <w:kern w:val="0"/>
          <w:sz w:val="32"/>
          <w:szCs w:val="32"/>
          <w:lang w:val="zh-CN"/>
        </w:rPr>
        <w:t>（7）</w:t>
      </w:r>
      <w:r>
        <w:rPr>
          <w:rFonts w:ascii="Times New Roman" w:hAnsi="Times New Roman" w:eastAsia="仿宋_GB2312"/>
          <w:snapToGrid w:val="0"/>
          <w:kern w:val="0"/>
          <w:sz w:val="32"/>
          <w:szCs w:val="32"/>
          <w:lang w:val="zh-CN"/>
        </w:rPr>
        <w:t>对采取控制措施后的剩余风险进行估计和评价，具体要求见附</w:t>
      </w:r>
      <w:r>
        <w:rPr>
          <w:rFonts w:hint="eastAsia" w:ascii="Times New Roman" w:hAnsi="Times New Roman" w:eastAsia="仿宋_GB2312"/>
          <w:snapToGrid w:val="0"/>
          <w:kern w:val="0"/>
          <w:sz w:val="32"/>
          <w:szCs w:val="32"/>
          <w:lang w:val="zh-CN"/>
        </w:rPr>
        <w:t>录</w:t>
      </w:r>
      <w:r>
        <w:rPr>
          <w:rFonts w:hint="eastAsia" w:ascii="Times New Roman" w:hAnsi="Times New Roman" w:eastAsia="仿宋_GB2312"/>
          <w:snapToGrid w:val="0"/>
          <w:kern w:val="0"/>
          <w:sz w:val="32"/>
          <w:szCs w:val="32"/>
          <w:lang w:val="en-US" w:eastAsia="zh-CN"/>
        </w:rPr>
        <w:t>A</w:t>
      </w:r>
      <w:r>
        <w:rPr>
          <w:rFonts w:ascii="Times New Roman" w:hAnsi="Times New Roman" w:eastAsia="仿宋_GB2312"/>
          <w:snapToGrid w:val="0"/>
          <w:kern w:val="0"/>
          <w:sz w:val="32"/>
          <w:szCs w:val="32"/>
          <w:lang w:val="zh-CN"/>
        </w:rPr>
        <w:t>。</w:t>
      </w:r>
    </w:p>
    <w:p>
      <w:pPr>
        <w:pStyle w:val="30"/>
        <w:keepNext w:val="0"/>
        <w:keepLines w:val="0"/>
        <w:pageBreakBefore w:val="0"/>
        <w:widowControl/>
        <w:kinsoku/>
        <w:wordWrap/>
        <w:overflowPunct w:val="0"/>
        <w:topLinePunct w:val="0"/>
        <w:autoSpaceDE w:val="0"/>
        <w:autoSpaceDN w:val="0"/>
        <w:bidi w:val="0"/>
        <w:adjustRightInd/>
        <w:snapToGrid/>
        <w:spacing w:line="520" w:lineRule="exact"/>
        <w:ind w:left="0" w:firstLine="640" w:firstLineChars="200"/>
        <w:jc w:val="both"/>
        <w:textAlignment w:val="auto"/>
        <w:outlineLvl w:val="2"/>
        <w:rPr>
          <w:rFonts w:ascii="Times New Roman" w:hAnsi="Times New Roman" w:eastAsia="仿宋_GB2312"/>
          <w:snapToGrid w:val="0"/>
          <w:kern w:val="0"/>
          <w:sz w:val="32"/>
          <w:szCs w:val="32"/>
          <w:lang w:val="zh-CN"/>
        </w:rPr>
      </w:pPr>
      <w:r>
        <w:rPr>
          <w:rFonts w:hint="eastAsia" w:ascii="Times New Roman" w:hAnsi="Times New Roman" w:eastAsia="仿宋_GB2312"/>
          <w:snapToGrid w:val="0"/>
          <w:kern w:val="0"/>
          <w:sz w:val="32"/>
          <w:szCs w:val="32"/>
          <w:lang w:val="zh-CN"/>
        </w:rPr>
        <w:t>应提供采取风险控制措施前后的</w:t>
      </w:r>
      <w:r>
        <w:rPr>
          <w:rFonts w:hint="eastAsia" w:ascii="Times New Roman" w:hAnsi="Times New Roman" w:eastAsia="仿宋_GB2312"/>
          <w:snapToGrid w:val="0"/>
          <w:kern w:val="0"/>
          <w:sz w:val="32"/>
          <w:szCs w:val="32"/>
        </w:rPr>
        <w:t>风险矩阵表。</w:t>
      </w:r>
    </w:p>
    <w:p>
      <w:pPr>
        <w:pStyle w:val="4"/>
        <w:keepNext w:val="0"/>
        <w:keepLines w:val="0"/>
        <w:pageBreakBefore w:val="0"/>
        <w:widowControl w:val="0"/>
        <w:kinsoku/>
        <w:wordWrap/>
        <w:overflowPunct/>
        <w:topLinePunct w:val="0"/>
        <w:bidi w:val="0"/>
        <w:spacing w:line="520" w:lineRule="exact"/>
        <w:ind w:leftChars="0" w:firstLine="640" w:firstLineChars="200"/>
        <w:textAlignment w:val="auto"/>
        <w:rPr>
          <w:rFonts w:hint="default"/>
          <w:lang w:val="en-US" w:eastAsia="zh-CN"/>
        </w:rPr>
      </w:pPr>
      <w:r>
        <w:rPr>
          <w:rFonts w:hint="eastAsia"/>
          <w:lang w:val="en-US" w:eastAsia="zh-CN"/>
        </w:rPr>
        <w:t>3.产品技术要求的主要性能指标</w:t>
      </w:r>
    </w:p>
    <w:p>
      <w:pPr>
        <w:keepNext w:val="0"/>
        <w:keepLines w:val="0"/>
        <w:pageBreakBefore w:val="0"/>
        <w:widowControl w:val="0"/>
        <w:numPr>
          <w:ilvl w:val="-1"/>
          <w:numId w:val="0"/>
        </w:numPr>
        <w:kinsoku/>
        <w:wordWrap/>
        <w:overflowPunct/>
        <w:topLinePunct w:val="0"/>
        <w:bidi w:val="0"/>
        <w:spacing w:line="520" w:lineRule="exact"/>
        <w:ind w:leftChars="0"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产品技术要求应符合</w:t>
      </w:r>
      <w:r>
        <w:rPr>
          <w:rFonts w:hint="eastAsia" w:ascii="仿宋" w:hAnsi="仿宋" w:eastAsia="仿宋" w:cs="仿宋"/>
          <w:color w:val="000000"/>
          <w:sz w:val="32"/>
          <w:szCs w:val="32"/>
        </w:rPr>
        <w:t>《医疗器械产品技术要求编写指导原则》</w:t>
      </w:r>
      <w:r>
        <w:rPr>
          <w:rFonts w:hint="eastAsia" w:ascii="仿宋" w:hAnsi="仿宋" w:eastAsia="仿宋" w:cs="仿宋"/>
          <w:color w:val="000000"/>
          <w:sz w:val="32"/>
          <w:szCs w:val="32"/>
          <w:lang w:eastAsia="zh-CN"/>
        </w:rPr>
        <w:t>的要求，可参照</w:t>
      </w:r>
      <w:r>
        <w:rPr>
          <w:rFonts w:hint="eastAsia" w:ascii="仿宋" w:hAnsi="仿宋" w:eastAsia="仿宋" w:cs="仿宋"/>
          <w:color w:val="000000"/>
          <w:sz w:val="32"/>
          <w:szCs w:val="32"/>
          <w:lang w:val="en-US" w:eastAsia="zh-CN"/>
        </w:rPr>
        <w:t>YY/T 0506系列标准，结合产品设计特点及临床应用进行制定</w:t>
      </w:r>
      <w:r>
        <w:rPr>
          <w:rFonts w:hint="eastAsia" w:ascii="仿宋" w:hAnsi="仿宋" w:eastAsia="仿宋" w:cs="仿宋"/>
          <w:color w:val="000000"/>
          <w:sz w:val="32"/>
          <w:szCs w:val="32"/>
          <w:lang w:eastAsia="zh-CN"/>
        </w:rPr>
        <w:t>，且</w:t>
      </w:r>
      <w:r>
        <w:rPr>
          <w:rFonts w:hint="eastAsia" w:ascii="仿宋" w:hAnsi="仿宋" w:eastAsia="仿宋" w:cs="仿宋"/>
          <w:color w:val="000000"/>
          <w:sz w:val="32"/>
          <w:szCs w:val="32"/>
        </w:rPr>
        <w:t>应不低于相关的强制性国家标准和行业标准</w:t>
      </w:r>
      <w:r>
        <w:rPr>
          <w:rFonts w:hint="eastAsia" w:ascii="仿宋" w:hAnsi="仿宋" w:eastAsia="仿宋" w:cs="仿宋"/>
          <w:color w:val="000000"/>
          <w:sz w:val="32"/>
          <w:szCs w:val="32"/>
          <w:lang w:eastAsia="zh-CN"/>
        </w:rPr>
        <w:t>，</w:t>
      </w:r>
      <w:r>
        <w:rPr>
          <w:rFonts w:hint="eastAsia" w:ascii="仿宋" w:hAnsi="仿宋" w:eastAsia="仿宋" w:cs="仿宋"/>
          <w:color w:val="FF0000"/>
          <w:sz w:val="32"/>
          <w:szCs w:val="32"/>
          <w:lang w:eastAsia="zh-CN"/>
        </w:rPr>
        <w:t>产品技术要求及试验方法均应经过验证。</w:t>
      </w:r>
    </w:p>
    <w:p>
      <w:pPr>
        <w:pStyle w:val="4"/>
        <w:keepNext w:val="0"/>
        <w:keepLines w:val="0"/>
        <w:pageBreakBefore w:val="0"/>
        <w:widowControl w:val="0"/>
        <w:kinsoku/>
        <w:wordWrap/>
        <w:overflowPunct/>
        <w:topLinePunct w:val="0"/>
        <w:bidi w:val="0"/>
        <w:spacing w:line="520" w:lineRule="exact"/>
        <w:ind w:leftChars="0" w:firstLine="640" w:firstLineChars="200"/>
        <w:textAlignment w:val="auto"/>
        <w:rPr>
          <w:rFonts w:hint="eastAsia"/>
          <w:lang w:val="en-US" w:eastAsia="zh-CN"/>
        </w:rPr>
      </w:pPr>
      <w:r>
        <w:rPr>
          <w:rFonts w:hint="eastAsia"/>
          <w:lang w:val="en-US" w:eastAsia="zh-CN"/>
        </w:rPr>
        <w:t>（1）产品型号/规格及其划分说明（如适用）</w:t>
      </w:r>
    </w:p>
    <w:p>
      <w:pPr>
        <w:keepNext w:val="0"/>
        <w:keepLines w:val="0"/>
        <w:pageBreakBefore w:val="0"/>
        <w:widowControl w:val="0"/>
        <w:numPr>
          <w:ilvl w:val="-1"/>
          <w:numId w:val="0"/>
        </w:numPr>
        <w:kinsoku/>
        <w:wordWrap/>
        <w:overflowPunct/>
        <w:topLinePunct w:val="0"/>
        <w:bidi w:val="0"/>
        <w:spacing w:line="520" w:lineRule="exact"/>
        <w:ind w:leftChars="0"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应说明产品的型号、规格，明确产品型号、规格的划分说明。</w:t>
      </w:r>
      <w:r>
        <w:rPr>
          <w:rFonts w:hint="eastAsia" w:ascii="仿宋" w:hAnsi="仿宋" w:eastAsia="仿宋" w:cs="仿宋"/>
          <w:color w:val="000000"/>
          <w:sz w:val="32"/>
          <w:szCs w:val="32"/>
        </w:rPr>
        <w:t>不使用“主要”、“等”之类模糊词语。</w:t>
      </w:r>
      <w:r>
        <w:rPr>
          <w:rFonts w:hint="eastAsia" w:ascii="仿宋" w:hAnsi="仿宋" w:eastAsia="仿宋" w:cs="仿宋"/>
          <w:color w:val="000000"/>
          <w:sz w:val="32"/>
          <w:szCs w:val="32"/>
          <w:lang w:eastAsia="zh-CN"/>
        </w:rPr>
        <w:t>必要时可提供产品的结构示意图。</w:t>
      </w:r>
    </w:p>
    <w:p>
      <w:pPr>
        <w:pStyle w:val="4"/>
        <w:keepNext w:val="0"/>
        <w:keepLines w:val="0"/>
        <w:pageBreakBefore w:val="0"/>
        <w:widowControl w:val="0"/>
        <w:kinsoku/>
        <w:wordWrap/>
        <w:overflowPunct/>
        <w:topLinePunct w:val="0"/>
        <w:bidi w:val="0"/>
        <w:spacing w:line="520" w:lineRule="exact"/>
        <w:ind w:leftChars="0" w:firstLine="640" w:firstLineChars="200"/>
        <w:textAlignment w:val="auto"/>
        <w:rPr>
          <w:rFonts w:hint="eastAsia"/>
          <w:lang w:val="en-US" w:eastAsia="zh-CN"/>
        </w:rPr>
      </w:pPr>
      <w:r>
        <w:rPr>
          <w:rFonts w:hint="eastAsia"/>
          <w:lang w:val="en-US" w:eastAsia="zh-CN"/>
        </w:rPr>
        <w:t>（2）性能指标</w:t>
      </w:r>
    </w:p>
    <w:p>
      <w:pPr>
        <w:keepNext w:val="0"/>
        <w:keepLines w:val="0"/>
        <w:pageBreakBefore w:val="0"/>
        <w:widowControl w:val="0"/>
        <w:numPr>
          <w:ilvl w:val="-1"/>
          <w:numId w:val="0"/>
        </w:numPr>
        <w:kinsoku/>
        <w:wordWrap/>
        <w:overflowPunct/>
        <w:topLinePunct w:val="0"/>
        <w:bidi w:val="0"/>
        <w:spacing w:line="520" w:lineRule="exact"/>
        <w:ind w:leftChars="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pacing w:val="0"/>
          <w:sz w:val="32"/>
          <w:szCs w:val="32"/>
        </w:rPr>
        <w:t>一次性使用</w:t>
      </w:r>
      <w:r>
        <w:rPr>
          <w:rFonts w:hint="eastAsia" w:ascii="仿宋" w:hAnsi="仿宋" w:eastAsia="仿宋" w:cs="仿宋"/>
          <w:color w:val="000000"/>
          <w:spacing w:val="0"/>
          <w:sz w:val="32"/>
          <w:szCs w:val="32"/>
          <w:lang w:eastAsia="zh-CN"/>
        </w:rPr>
        <w:t>手术帽的</w:t>
      </w:r>
      <w:r>
        <w:rPr>
          <w:rFonts w:hint="eastAsia" w:ascii="仿宋" w:hAnsi="仿宋" w:eastAsia="仿宋" w:cs="仿宋"/>
          <w:color w:val="000000"/>
          <w:spacing w:val="0"/>
          <w:sz w:val="32"/>
          <w:szCs w:val="32"/>
        </w:rPr>
        <w:t>性能指标</w:t>
      </w:r>
      <w:r>
        <w:rPr>
          <w:rFonts w:hint="eastAsia" w:ascii="仿宋" w:hAnsi="仿宋" w:eastAsia="仿宋" w:cs="仿宋"/>
          <w:color w:val="000000"/>
          <w:spacing w:val="0"/>
          <w:sz w:val="32"/>
          <w:szCs w:val="32"/>
          <w:lang w:eastAsia="zh-CN"/>
        </w:rPr>
        <w:t>可参照</w:t>
      </w:r>
      <w:r>
        <w:rPr>
          <w:rFonts w:hint="eastAsia" w:ascii="仿宋" w:hAnsi="仿宋" w:eastAsia="仿宋" w:cs="仿宋"/>
          <w:color w:val="000000"/>
          <w:spacing w:val="0"/>
          <w:sz w:val="32"/>
          <w:szCs w:val="32"/>
          <w:lang w:val="en-US" w:eastAsia="zh-CN"/>
        </w:rPr>
        <w:t>YY/T 0506系列标准进行制定</w:t>
      </w:r>
      <w:r>
        <w:rPr>
          <w:rFonts w:hint="eastAsia" w:ascii="仿宋" w:hAnsi="仿宋" w:eastAsia="仿宋" w:cs="仿宋"/>
          <w:color w:val="000000"/>
          <w:sz w:val="32"/>
          <w:szCs w:val="32"/>
        </w:rPr>
        <w:t>，在制定技术要求时，应充分考虑产品自身特点，对于不适用的内容，应在性能研究资料中详细说明原因，提供有关证据。可考虑根据产品实际特点增加</w:t>
      </w:r>
      <w:r>
        <w:rPr>
          <w:rFonts w:hint="eastAsia" w:ascii="仿宋" w:hAnsi="仿宋" w:eastAsia="仿宋" w:cs="仿宋"/>
          <w:color w:val="000000"/>
          <w:sz w:val="32"/>
          <w:szCs w:val="32"/>
          <w:lang w:eastAsia="zh-CN"/>
        </w:rPr>
        <w:t>自定义性能指标</w:t>
      </w:r>
      <w:r>
        <w:rPr>
          <w:rFonts w:hint="eastAsia" w:ascii="仿宋" w:hAnsi="仿宋" w:eastAsia="仿宋" w:cs="仿宋"/>
          <w:color w:val="000000"/>
          <w:sz w:val="32"/>
          <w:szCs w:val="32"/>
        </w:rPr>
        <w:t>。</w:t>
      </w:r>
    </w:p>
    <w:p>
      <w:pPr>
        <w:keepNext w:val="0"/>
        <w:keepLines w:val="0"/>
        <w:pageBreakBefore w:val="0"/>
        <w:widowControl w:val="0"/>
        <w:kinsoku/>
        <w:wordWrap/>
        <w:overflowPunct/>
        <w:topLinePunct w:val="0"/>
        <w:bidi w:val="0"/>
        <w:spacing w:line="520" w:lineRule="exact"/>
        <w:ind w:leftChars="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highlight w:val="none"/>
        </w:rPr>
        <w:t>常见的</w:t>
      </w:r>
      <w:r>
        <w:rPr>
          <w:rFonts w:hint="eastAsia" w:ascii="仿宋" w:hAnsi="仿宋" w:eastAsia="仿宋" w:cs="仿宋"/>
          <w:color w:val="000000"/>
          <w:sz w:val="30"/>
          <w:szCs w:val="30"/>
          <w:highlight w:val="none"/>
          <w:lang w:eastAsia="zh-CN"/>
        </w:rPr>
        <w:t>一次性使用手术帽</w:t>
      </w:r>
      <w:r>
        <w:rPr>
          <w:rFonts w:hint="eastAsia" w:ascii="仿宋" w:hAnsi="仿宋" w:eastAsia="仿宋" w:cs="仿宋"/>
          <w:color w:val="000000"/>
          <w:sz w:val="30"/>
          <w:szCs w:val="30"/>
          <w:highlight w:val="none"/>
        </w:rPr>
        <w:t>通用技术指标应有以下几点（包括但不限于此）：</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20" w:lineRule="exact"/>
        <w:ind w:leftChars="0" w:firstLine="600" w:firstLineChars="200"/>
        <w:textAlignment w:val="auto"/>
        <w:rPr>
          <w:rFonts w:hint="eastAsia" w:ascii="仿宋" w:hAnsi="仿宋" w:eastAsia="仿宋" w:cs="仿宋"/>
          <w:color w:val="000000"/>
          <w:sz w:val="30"/>
          <w:szCs w:val="30"/>
          <w:lang w:eastAsia="zh-CN"/>
        </w:rPr>
      </w:pPr>
      <w:r>
        <w:rPr>
          <w:rFonts w:hint="eastAsia" w:ascii="仿宋" w:hAnsi="仿宋" w:eastAsia="仿宋" w:cs="仿宋"/>
          <w:color w:val="000000"/>
          <w:sz w:val="30"/>
          <w:szCs w:val="30"/>
          <w:lang w:val="en-US" w:eastAsia="zh-CN"/>
        </w:rPr>
        <w:t>a.物理要求：外观、尺寸、阻微生物穿透</w:t>
      </w:r>
      <w:r>
        <w:rPr>
          <w:rFonts w:hint="eastAsia" w:ascii="仿宋" w:hAnsi="仿宋" w:eastAsia="仿宋" w:cs="仿宋"/>
          <w:sz w:val="30"/>
          <w:szCs w:val="30"/>
          <w:lang w:val="en-US" w:eastAsia="zh-CN"/>
        </w:rPr>
        <w:t>、洁净度、落絮、</w:t>
      </w:r>
      <w:r>
        <w:rPr>
          <w:rFonts w:hint="eastAsia" w:ascii="仿宋" w:hAnsi="仿宋" w:eastAsia="仿宋" w:cs="仿宋"/>
          <w:color w:val="000000"/>
          <w:sz w:val="30"/>
          <w:szCs w:val="30"/>
          <w:lang w:val="en-US" w:eastAsia="zh-CN"/>
        </w:rPr>
        <w:t>胀破强力、断裂强力、透气性、系带（若适用，考虑</w:t>
      </w:r>
      <w:r>
        <w:rPr>
          <w:rFonts w:hint="eastAsia" w:ascii="仿宋" w:hAnsi="仿宋" w:eastAsia="仿宋" w:cs="仿宋"/>
          <w:color w:val="000000"/>
          <w:sz w:val="30"/>
          <w:szCs w:val="30"/>
          <w:lang w:eastAsia="zh-CN"/>
        </w:rPr>
        <w:t>尺寸、抗拉性、连接牢固度</w:t>
      </w:r>
      <w:r>
        <w:rPr>
          <w:rFonts w:hint="eastAsia" w:ascii="仿宋" w:hAnsi="仿宋" w:eastAsia="仿宋" w:cs="仿宋"/>
          <w:color w:val="000000"/>
          <w:sz w:val="30"/>
          <w:szCs w:val="30"/>
        </w:rPr>
        <w:t>）</w:t>
      </w:r>
      <w:r>
        <w:rPr>
          <w:rFonts w:hint="eastAsia" w:ascii="仿宋" w:hAnsi="仿宋" w:eastAsia="仿宋" w:cs="仿宋"/>
          <w:color w:val="000000"/>
          <w:sz w:val="30"/>
          <w:szCs w:val="30"/>
          <w:lang w:val="en-US" w:eastAsia="zh-CN"/>
        </w:rPr>
        <w:t>、弹性收口</w:t>
      </w:r>
      <w:r>
        <w:rPr>
          <w:rFonts w:hint="eastAsia" w:ascii="仿宋" w:hAnsi="仿宋" w:eastAsia="仿宋" w:cs="仿宋"/>
          <w:color w:val="000000"/>
          <w:sz w:val="30"/>
          <w:szCs w:val="30"/>
        </w:rPr>
        <w:t>（</w:t>
      </w:r>
      <w:r>
        <w:rPr>
          <w:rFonts w:hint="eastAsia" w:ascii="仿宋" w:hAnsi="仿宋" w:eastAsia="仿宋" w:cs="仿宋"/>
          <w:color w:val="000000"/>
          <w:sz w:val="30"/>
          <w:szCs w:val="30"/>
          <w:lang w:eastAsia="zh-CN"/>
        </w:rPr>
        <w:t>若适用，考虑拉伸性</w:t>
      </w:r>
      <w:r>
        <w:rPr>
          <w:rFonts w:hint="eastAsia" w:ascii="仿宋" w:hAnsi="仿宋" w:eastAsia="仿宋" w:cs="仿宋"/>
          <w:color w:val="000000"/>
          <w:sz w:val="30"/>
          <w:szCs w:val="30"/>
        </w:rPr>
        <w:t>）</w:t>
      </w:r>
      <w:r>
        <w:rPr>
          <w:rFonts w:hint="eastAsia" w:ascii="仿宋" w:hAnsi="仿宋" w:eastAsia="仿宋" w:cs="仿宋"/>
          <w:color w:val="000000"/>
          <w:sz w:val="30"/>
          <w:szCs w:val="30"/>
          <w:lang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20" w:lineRule="exact"/>
        <w:ind w:leftChars="0" w:firstLine="600" w:firstLineChars="200"/>
        <w:textAlignment w:val="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b.化学要求：环氧乙烷残留量（环氧乙烷灭菌产品）。</w:t>
      </w:r>
    </w:p>
    <w:p>
      <w:pPr>
        <w:pStyle w:val="8"/>
        <w:keepNext w:val="0"/>
        <w:keepLines w:val="0"/>
        <w:pageBreakBefore w:val="0"/>
        <w:widowControl w:val="0"/>
        <w:kinsoku/>
        <w:wordWrap/>
        <w:overflowPunct/>
        <w:topLinePunct w:val="0"/>
        <w:bidi w:val="0"/>
        <w:spacing w:line="520" w:lineRule="exact"/>
        <w:ind w:leftChars="0" w:firstLine="60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0"/>
          <w:szCs w:val="30"/>
          <w:lang w:val="en-US" w:eastAsia="zh-CN"/>
        </w:rPr>
        <w:t>c.生物要求：无菌。</w:t>
      </w:r>
    </w:p>
    <w:p>
      <w:pPr>
        <w:keepNext w:val="0"/>
        <w:keepLines w:val="0"/>
        <w:pageBreakBefore w:val="0"/>
        <w:widowControl w:val="0"/>
        <w:numPr>
          <w:ilvl w:val="-1"/>
          <w:numId w:val="0"/>
        </w:numPr>
        <w:kinsoku/>
        <w:wordWrap/>
        <w:overflowPunct/>
        <w:topLinePunct w:val="0"/>
        <w:bidi w:val="0"/>
        <w:spacing w:line="520" w:lineRule="exact"/>
        <w:ind w:leftChars="0" w:firstLine="640" w:firstLineChars="20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d.检验方法。</w:t>
      </w:r>
    </w:p>
    <w:p>
      <w:pPr>
        <w:keepNext w:val="0"/>
        <w:keepLines w:val="0"/>
        <w:pageBreakBefore w:val="0"/>
        <w:widowControl w:val="0"/>
        <w:numPr>
          <w:ilvl w:val="-1"/>
          <w:numId w:val="0"/>
        </w:numPr>
        <w:kinsoku/>
        <w:wordWrap/>
        <w:overflowPunct/>
        <w:topLinePunct w:val="0"/>
        <w:bidi w:val="0"/>
        <w:spacing w:line="520" w:lineRule="exact"/>
        <w:ind w:leftChars="0" w:firstLine="640" w:firstLineChars="200"/>
        <w:textAlignment w:val="auto"/>
        <w:rPr>
          <w:rFonts w:hint="eastAsia" w:ascii="仿宋" w:hAnsi="仿宋" w:eastAsia="仿宋" w:cs="仿宋"/>
          <w:bCs w:val="0"/>
          <w:color w:val="000000"/>
          <w:sz w:val="32"/>
          <w:szCs w:val="32"/>
        </w:rPr>
      </w:pPr>
      <w:r>
        <w:rPr>
          <w:rFonts w:hint="eastAsia" w:ascii="仿宋" w:hAnsi="仿宋" w:eastAsia="仿宋" w:cs="仿宋"/>
          <w:bCs w:val="0"/>
          <w:color w:val="000000"/>
          <w:sz w:val="32"/>
          <w:szCs w:val="32"/>
        </w:rPr>
        <w:t>产品的检验方法应根据技术性能指标设定，检验方法需优先采用已颁布的标准</w:t>
      </w:r>
      <w:r>
        <w:rPr>
          <w:rFonts w:hint="eastAsia" w:ascii="仿宋" w:hAnsi="仿宋" w:eastAsia="仿宋" w:cs="仿宋"/>
          <w:bCs w:val="0"/>
          <w:color w:val="000000"/>
          <w:sz w:val="32"/>
          <w:szCs w:val="32"/>
          <w:lang w:eastAsia="zh-CN"/>
        </w:rPr>
        <w:t>或</w:t>
      </w:r>
      <w:r>
        <w:rPr>
          <w:rFonts w:hint="eastAsia" w:ascii="仿宋" w:hAnsi="仿宋" w:eastAsia="仿宋" w:cs="仿宋"/>
          <w:bCs w:val="0"/>
          <w:color w:val="000000"/>
          <w:sz w:val="32"/>
          <w:szCs w:val="32"/>
        </w:rPr>
        <w:t>公认的检验方法；自</w:t>
      </w:r>
      <w:r>
        <w:rPr>
          <w:rFonts w:hint="eastAsia" w:ascii="仿宋" w:hAnsi="仿宋" w:eastAsia="仿宋" w:cs="仿宋"/>
          <w:bCs w:val="0"/>
          <w:color w:val="000000"/>
          <w:sz w:val="32"/>
          <w:szCs w:val="32"/>
          <w:lang w:eastAsia="zh-CN"/>
        </w:rPr>
        <w:t>定义</w:t>
      </w:r>
      <w:r>
        <w:rPr>
          <w:rFonts w:hint="eastAsia" w:ascii="仿宋" w:hAnsi="仿宋" w:eastAsia="仿宋" w:cs="仿宋"/>
          <w:bCs w:val="0"/>
          <w:color w:val="000000"/>
          <w:sz w:val="32"/>
          <w:szCs w:val="32"/>
        </w:rPr>
        <w:t>检验方法需提供相应的方法学依据及理论基础，同时保证检验方法具有可操作性和可重现性，必要时可附相应图示进行说明，文本较大的可以附录形式提供。</w:t>
      </w:r>
    </w:p>
    <w:p>
      <w:pPr>
        <w:pStyle w:val="4"/>
        <w:keepNext w:val="0"/>
        <w:keepLines w:val="0"/>
        <w:pageBreakBefore w:val="0"/>
        <w:widowControl w:val="0"/>
        <w:kinsoku/>
        <w:wordWrap/>
        <w:overflowPunct/>
        <w:topLinePunct w:val="0"/>
        <w:bidi w:val="0"/>
        <w:textAlignment w:val="auto"/>
        <w:rPr>
          <w:rFonts w:hint="eastAsia" w:ascii="Times New Roman" w:hAnsi="Times New Roman" w:eastAsia="仿宋_GB2312"/>
          <w:snapToGrid w:val="0"/>
          <w:kern w:val="0"/>
          <w:sz w:val="32"/>
          <w:szCs w:val="32"/>
          <w:lang w:eastAsia="zh-CN"/>
        </w:rPr>
      </w:pPr>
      <w:r>
        <w:rPr>
          <w:rFonts w:hint="eastAsia" w:ascii="Times New Roman" w:hAnsi="Times New Roman" w:eastAsia="仿宋_GB2312"/>
          <w:snapToGrid w:val="0"/>
          <w:kern w:val="0"/>
          <w:sz w:val="32"/>
          <w:szCs w:val="32"/>
          <w:lang w:eastAsia="zh-CN"/>
        </w:rPr>
        <w:t>（</w:t>
      </w:r>
      <w:r>
        <w:rPr>
          <w:rFonts w:hint="eastAsia" w:ascii="Times New Roman" w:hAnsi="Times New Roman" w:eastAsia="仿宋_GB2312"/>
          <w:snapToGrid w:val="0"/>
          <w:kern w:val="0"/>
          <w:sz w:val="32"/>
          <w:szCs w:val="32"/>
          <w:lang w:val="en-US" w:eastAsia="zh-CN"/>
        </w:rPr>
        <w:t>3</w:t>
      </w:r>
      <w:r>
        <w:rPr>
          <w:rFonts w:hint="eastAsia" w:ascii="Times New Roman" w:hAnsi="Times New Roman" w:eastAsia="仿宋_GB2312"/>
          <w:snapToGrid w:val="0"/>
          <w:kern w:val="0"/>
          <w:sz w:val="32"/>
          <w:szCs w:val="32"/>
          <w:lang w:eastAsia="zh-CN"/>
        </w:rPr>
        <w:t>）标准符合性清单</w:t>
      </w:r>
    </w:p>
    <w:p>
      <w:pPr>
        <w:pStyle w:val="4"/>
        <w:keepNext w:val="0"/>
        <w:keepLines w:val="0"/>
        <w:pageBreakBefore w:val="0"/>
        <w:widowControl w:val="0"/>
        <w:kinsoku/>
        <w:wordWrap/>
        <w:overflowPunct/>
        <w:topLinePunct w:val="0"/>
        <w:bidi w:val="0"/>
        <w:textAlignment w:val="auto"/>
        <w:rPr>
          <w:rFonts w:hint="default" w:ascii="Times New Roman" w:hAnsi="Times New Roman" w:eastAsia="黑体" w:cs="Times New Roman"/>
          <w:bCs/>
          <w:color w:val="000000"/>
          <w:sz w:val="28"/>
          <w:szCs w:val="28"/>
        </w:rPr>
      </w:pPr>
      <w:r>
        <w:rPr>
          <w:rFonts w:ascii="Times New Roman" w:hAnsi="Times New Roman" w:eastAsia="仿宋_GB2312"/>
          <w:snapToGrid w:val="0"/>
          <w:kern w:val="0"/>
          <w:sz w:val="32"/>
          <w:szCs w:val="32"/>
        </w:rPr>
        <w:t>申报产品应符合的国家标准</w:t>
      </w:r>
      <w:r>
        <w:rPr>
          <w:rFonts w:ascii="Times New Roman" w:hAnsi="Times New Roman" w:eastAsia="仿宋_GB2312"/>
          <w:sz w:val="32"/>
          <w:szCs w:val="32"/>
        </w:rPr>
        <w:t>和行业标准可参考下表</w:t>
      </w:r>
      <w:r>
        <w:rPr>
          <w:rFonts w:hint="eastAsia" w:ascii="Times New Roman" w:hAnsi="Times New Roman" w:eastAsia="仿宋_GB2312"/>
          <w:sz w:val="32"/>
          <w:szCs w:val="32"/>
          <w:lang w:val="en-US" w:eastAsia="zh-CN"/>
        </w:rPr>
        <w:t>1</w:t>
      </w:r>
      <w:r>
        <w:rPr>
          <w:rFonts w:hint="eastAsia" w:ascii="Times New Roman" w:hAnsi="Times New Roman" w:eastAsia="仿宋"/>
        </w:rPr>
        <w:t>。</w:t>
      </w:r>
    </w:p>
    <w:p>
      <w:pPr>
        <w:keepNext w:val="0"/>
        <w:keepLines w:val="0"/>
        <w:pageBreakBefore w:val="0"/>
        <w:widowControl w:val="0"/>
        <w:kinsoku/>
        <w:wordWrap/>
        <w:overflowPunct/>
        <w:topLinePunct w:val="0"/>
        <w:autoSpaceDE/>
        <w:autoSpaceDN/>
        <w:bidi w:val="0"/>
        <w:adjustRightInd/>
        <w:snapToGrid/>
        <w:spacing w:before="312" w:beforeLines="100" w:after="313" w:afterLines="100" w:line="480" w:lineRule="exact"/>
        <w:jc w:val="center"/>
        <w:textAlignment w:val="auto"/>
        <w:rPr>
          <w:rFonts w:hint="eastAsia" w:ascii="Times New Roman" w:hAnsi="Times New Roman" w:eastAsia="黑体"/>
          <w:lang w:eastAsia="zh-CN"/>
        </w:rPr>
      </w:pPr>
      <w:r>
        <w:rPr>
          <w:rFonts w:hint="default" w:ascii="Times New Roman" w:hAnsi="Times New Roman" w:eastAsia="黑体" w:cs="Times New Roman"/>
          <w:bCs/>
          <w:color w:val="000000"/>
          <w:sz w:val="28"/>
          <w:szCs w:val="28"/>
        </w:rPr>
        <w:t>表</w:t>
      </w:r>
      <w:r>
        <w:rPr>
          <w:rFonts w:hint="eastAsia" w:eastAsia="黑体" w:cs="Times New Roman"/>
          <w:bCs/>
          <w:color w:val="000000"/>
          <w:sz w:val="28"/>
          <w:szCs w:val="28"/>
          <w:lang w:val="en-US" w:eastAsia="zh-CN"/>
        </w:rPr>
        <w:t>1</w:t>
      </w:r>
      <w:r>
        <w:rPr>
          <w:rFonts w:hint="default" w:ascii="Times New Roman" w:hAnsi="Times New Roman" w:eastAsia="黑体" w:cs="Times New Roman"/>
          <w:bCs/>
          <w:color w:val="000000"/>
          <w:sz w:val="28"/>
          <w:szCs w:val="28"/>
        </w:rPr>
        <w:t xml:space="preserve">  相关标</w:t>
      </w:r>
      <w:r>
        <w:rPr>
          <w:rFonts w:hint="eastAsia" w:eastAsia="黑体" w:cs="Times New Roman"/>
          <w:bCs/>
          <w:color w:val="000000"/>
          <w:sz w:val="28"/>
          <w:szCs w:val="28"/>
          <w:lang w:eastAsia="zh-CN"/>
        </w:rPr>
        <w:t>准</w:t>
      </w:r>
    </w:p>
    <w:tbl>
      <w:tblPr>
        <w:tblStyle w:val="17"/>
        <w:tblW w:w="9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7"/>
        <w:gridCol w:w="6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default" w:ascii="仿宋" w:hAnsi="仿宋" w:eastAsia="仿宋"/>
                <w:sz w:val="28"/>
                <w:szCs w:val="28"/>
                <w:highlight w:val="none"/>
                <w:lang w:val="en-US"/>
              </w:rPr>
            </w:pPr>
            <w:r>
              <w:rPr>
                <w:rFonts w:hint="eastAsia" w:ascii="仿宋" w:hAnsi="仿宋" w:eastAsia="仿宋"/>
                <w:sz w:val="28"/>
                <w:szCs w:val="28"/>
                <w:highlight w:val="none"/>
                <w:lang w:val="en-US" w:eastAsia="zh-CN"/>
              </w:rPr>
              <w:t>GB/T 4744</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lang w:eastAsia="zh-CN"/>
              </w:rPr>
              <w:t>纺织品</w:t>
            </w:r>
            <w:r>
              <w:rPr>
                <w:rFonts w:hint="eastAsia" w:ascii="仿宋" w:hAnsi="仿宋" w:eastAsia="仿宋"/>
                <w:sz w:val="28"/>
                <w:szCs w:val="28"/>
                <w:highlight w:val="none"/>
                <w:lang w:val="en-US" w:eastAsia="zh-CN"/>
              </w:rPr>
              <w:t xml:space="preserve"> 防水性能的检测和评价 静水压法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GB/T 7742.1</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lang w:eastAsia="zh-CN"/>
              </w:rPr>
              <w:t>纺织品</w:t>
            </w:r>
            <w:r>
              <w:rPr>
                <w:rFonts w:hint="eastAsia" w:ascii="仿宋" w:hAnsi="仿宋" w:eastAsia="仿宋"/>
                <w:sz w:val="28"/>
                <w:szCs w:val="28"/>
                <w:highlight w:val="none"/>
                <w:lang w:val="en-US" w:eastAsia="zh-CN"/>
              </w:rPr>
              <w:t xml:space="preserve"> 织物胀破性能 第1部分：胀破强力和胀破扩张度的测定 液压法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sz w:val="28"/>
                <w:szCs w:val="28"/>
                <w:highlight w:val="none"/>
              </w:rPr>
            </w:pPr>
            <w:r>
              <w:rPr>
                <w:rFonts w:hint="eastAsia" w:ascii="仿宋" w:hAnsi="仿宋" w:eastAsia="仿宋"/>
                <w:sz w:val="28"/>
                <w:szCs w:val="28"/>
                <w:highlight w:val="none"/>
              </w:rPr>
              <w:t>GB/T 14233.1</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sz w:val="28"/>
                <w:szCs w:val="28"/>
                <w:highlight w:val="none"/>
              </w:rPr>
            </w:pPr>
            <w:r>
              <w:rPr>
                <w:rFonts w:hint="eastAsia" w:ascii="仿宋" w:hAnsi="仿宋" w:eastAsia="仿宋"/>
                <w:sz w:val="28"/>
                <w:szCs w:val="28"/>
                <w:highlight w:val="none"/>
              </w:rPr>
              <w:t>医用输液、输血、注射器具检验方法 第1部分：化学分析方法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sz w:val="28"/>
                <w:szCs w:val="28"/>
                <w:highlight w:val="none"/>
              </w:rPr>
            </w:pPr>
            <w:r>
              <w:rPr>
                <w:rFonts w:hint="eastAsia" w:ascii="仿宋" w:hAnsi="仿宋" w:eastAsia="仿宋"/>
                <w:sz w:val="28"/>
                <w:szCs w:val="28"/>
                <w:highlight w:val="none"/>
              </w:rPr>
              <w:t>GB/T 14233.2</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sz w:val="28"/>
                <w:szCs w:val="28"/>
                <w:highlight w:val="none"/>
              </w:rPr>
            </w:pPr>
            <w:r>
              <w:rPr>
                <w:rFonts w:hint="eastAsia" w:ascii="仿宋" w:hAnsi="仿宋" w:eastAsia="仿宋"/>
                <w:sz w:val="28"/>
                <w:szCs w:val="28"/>
                <w:highlight w:val="none"/>
              </w:rPr>
              <w:t>医用输液、输血、注射器具检验方法 第2部分：生物学试验方法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sz w:val="28"/>
                <w:szCs w:val="28"/>
                <w:highlight w:val="none"/>
              </w:rPr>
            </w:pPr>
            <w:r>
              <w:rPr>
                <w:rFonts w:hint="eastAsia" w:ascii="仿宋" w:hAnsi="仿宋" w:eastAsia="仿宋"/>
                <w:sz w:val="28"/>
                <w:szCs w:val="28"/>
                <w:highlight w:val="none"/>
              </w:rPr>
              <w:t>GB/T 16886.1</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sz w:val="28"/>
                <w:szCs w:val="28"/>
                <w:highlight w:val="none"/>
              </w:rPr>
            </w:pPr>
            <w:r>
              <w:rPr>
                <w:rFonts w:hint="eastAsia" w:ascii="仿宋" w:hAnsi="仿宋" w:eastAsia="仿宋"/>
                <w:sz w:val="28"/>
                <w:szCs w:val="28"/>
                <w:highlight w:val="none"/>
              </w:rPr>
              <w:t>医疗器械生物学评价 第1部分：风险管理过程中的评价与试验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firstLine="0" w:firstLineChars="0"/>
              <w:textAlignment w:val="auto"/>
              <w:rPr>
                <w:rFonts w:ascii="仿宋" w:hAnsi="仿宋" w:eastAsia="仿宋"/>
                <w:sz w:val="28"/>
                <w:szCs w:val="28"/>
                <w:highlight w:val="none"/>
              </w:rPr>
            </w:pPr>
            <w:r>
              <w:rPr>
                <w:rFonts w:hint="eastAsia" w:ascii="仿宋" w:hAnsi="仿宋" w:eastAsia="仿宋"/>
                <w:sz w:val="28"/>
                <w:szCs w:val="28"/>
                <w:highlight w:val="none"/>
              </w:rPr>
              <w:t>GB/T 16886.5</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sz w:val="28"/>
                <w:szCs w:val="28"/>
                <w:highlight w:val="none"/>
              </w:rPr>
            </w:pPr>
            <w:r>
              <w:rPr>
                <w:rFonts w:hint="eastAsia" w:ascii="仿宋" w:hAnsi="仿宋" w:eastAsia="仿宋"/>
                <w:sz w:val="28"/>
                <w:szCs w:val="28"/>
                <w:highlight w:val="none"/>
              </w:rPr>
              <w:t>医疗器械生物学评价 第5部分：体外细胞毒性试验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sz w:val="28"/>
                <w:szCs w:val="28"/>
                <w:highlight w:val="none"/>
              </w:rPr>
            </w:pPr>
            <w:r>
              <w:rPr>
                <w:rFonts w:hint="eastAsia" w:ascii="仿宋" w:hAnsi="仿宋" w:eastAsia="仿宋"/>
                <w:sz w:val="28"/>
                <w:szCs w:val="28"/>
                <w:highlight w:val="none"/>
              </w:rPr>
              <w:t>GB/T 16886.7</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sz w:val="28"/>
                <w:szCs w:val="28"/>
                <w:highlight w:val="none"/>
              </w:rPr>
            </w:pPr>
            <w:r>
              <w:rPr>
                <w:rFonts w:hint="eastAsia" w:ascii="仿宋" w:hAnsi="仿宋" w:eastAsia="仿宋"/>
                <w:sz w:val="28"/>
                <w:szCs w:val="28"/>
                <w:highlight w:val="none"/>
              </w:rPr>
              <w:t>医疗器械生物学评价 第7部分：环氧乙烷灭菌残留量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firstLine="0" w:firstLineChars="0"/>
              <w:textAlignment w:val="auto"/>
              <w:rPr>
                <w:rFonts w:ascii="仿宋" w:hAnsi="仿宋" w:eastAsia="仿宋"/>
                <w:sz w:val="28"/>
                <w:szCs w:val="28"/>
                <w:highlight w:val="none"/>
              </w:rPr>
            </w:pPr>
            <w:r>
              <w:rPr>
                <w:rFonts w:hint="eastAsia" w:ascii="仿宋" w:hAnsi="仿宋" w:eastAsia="仿宋"/>
                <w:sz w:val="28"/>
                <w:szCs w:val="28"/>
                <w:highlight w:val="none"/>
              </w:rPr>
              <w:t>GB/T 16886.10</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sz w:val="28"/>
                <w:szCs w:val="28"/>
                <w:highlight w:val="none"/>
              </w:rPr>
            </w:pPr>
            <w:r>
              <w:rPr>
                <w:rFonts w:hint="eastAsia" w:ascii="仿宋" w:hAnsi="仿宋" w:eastAsia="仿宋"/>
                <w:sz w:val="28"/>
                <w:szCs w:val="28"/>
                <w:highlight w:val="none"/>
              </w:rPr>
              <w:t>医疗器械生物学评价 第10部分：刺激与</w:t>
            </w:r>
            <w:r>
              <w:rPr>
                <w:rFonts w:hint="eastAsia" w:ascii="仿宋" w:hAnsi="仿宋" w:eastAsia="仿宋"/>
                <w:sz w:val="28"/>
                <w:szCs w:val="28"/>
                <w:highlight w:val="none"/>
                <w:lang w:eastAsia="zh-CN"/>
              </w:rPr>
              <w:t>皮肤致敏</w:t>
            </w:r>
            <w:r>
              <w:rPr>
                <w:rFonts w:hint="eastAsia" w:ascii="仿宋" w:hAnsi="仿宋" w:eastAsia="仿宋"/>
                <w:sz w:val="28"/>
                <w:szCs w:val="28"/>
                <w:highlight w:val="none"/>
              </w:rPr>
              <w:t>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sz w:val="28"/>
                <w:szCs w:val="28"/>
                <w:highlight w:val="none"/>
              </w:rPr>
            </w:pPr>
            <w:r>
              <w:rPr>
                <w:rFonts w:ascii="仿宋" w:hAnsi="仿宋" w:eastAsia="仿宋"/>
                <w:sz w:val="28"/>
                <w:szCs w:val="28"/>
                <w:highlight w:val="none"/>
              </w:rPr>
              <w:t>GB 18279.1</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sz w:val="28"/>
                <w:szCs w:val="28"/>
                <w:highlight w:val="none"/>
              </w:rPr>
            </w:pPr>
            <w:r>
              <w:rPr>
                <w:rFonts w:hint="eastAsia" w:ascii="仿宋" w:hAnsi="仿宋" w:eastAsia="仿宋"/>
                <w:sz w:val="28"/>
                <w:szCs w:val="28"/>
                <w:highlight w:val="none"/>
              </w:rPr>
              <w:t>医疗保健产品灭菌 环氧乙烷 第</w:t>
            </w:r>
            <w:r>
              <w:rPr>
                <w:rFonts w:ascii="仿宋" w:hAnsi="仿宋" w:eastAsia="仿宋"/>
                <w:sz w:val="28"/>
                <w:szCs w:val="28"/>
                <w:highlight w:val="none"/>
              </w:rPr>
              <w:t>1</w:t>
            </w:r>
            <w:r>
              <w:rPr>
                <w:rFonts w:hint="eastAsia" w:ascii="仿宋" w:hAnsi="仿宋" w:eastAsia="仿宋"/>
                <w:sz w:val="28"/>
                <w:szCs w:val="28"/>
                <w:highlight w:val="none"/>
              </w:rPr>
              <w:t>部分：医疗器械灭菌过程的开发、确认和常规控制的要求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GB/T 18279.2</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rPr>
              <w:t>医疗保健产品灭菌 环氧乙烷 第</w:t>
            </w:r>
            <w:r>
              <w:rPr>
                <w:rFonts w:hint="eastAsia" w:ascii="仿宋" w:hAnsi="仿宋" w:eastAsia="仿宋"/>
                <w:sz w:val="28"/>
                <w:szCs w:val="28"/>
                <w:highlight w:val="none"/>
                <w:lang w:val="en-US" w:eastAsia="zh-CN"/>
              </w:rPr>
              <w:t>2</w:t>
            </w:r>
            <w:r>
              <w:rPr>
                <w:rFonts w:hint="eastAsia" w:ascii="仿宋" w:hAnsi="仿宋" w:eastAsia="仿宋"/>
                <w:sz w:val="28"/>
                <w:szCs w:val="28"/>
                <w:highlight w:val="none"/>
              </w:rPr>
              <w:t>部分：</w:t>
            </w:r>
            <w:r>
              <w:rPr>
                <w:rFonts w:hint="eastAsia" w:ascii="仿宋" w:hAnsi="仿宋" w:eastAsia="仿宋"/>
                <w:sz w:val="28"/>
                <w:szCs w:val="28"/>
                <w:highlight w:val="none"/>
                <w:lang w:val="en-US" w:eastAsia="zh-CN"/>
              </w:rPr>
              <w:t>GB 18279.1应用指南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GB 18280.1</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sz w:val="28"/>
                <w:szCs w:val="28"/>
                <w:highlight w:val="none"/>
              </w:rPr>
            </w:pPr>
            <w:r>
              <w:rPr>
                <w:rFonts w:hint="eastAsia" w:ascii="仿宋" w:hAnsi="仿宋" w:eastAsia="仿宋"/>
                <w:sz w:val="28"/>
                <w:szCs w:val="28"/>
                <w:highlight w:val="none"/>
                <w:lang w:val="en-US" w:eastAsia="zh-CN"/>
              </w:rPr>
              <w:t>医疗保健产品灭菌 辐射 第1部分：医疗器械灭菌过程的开发、确认和常规控制要求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GB 18280.2</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sz w:val="28"/>
                <w:szCs w:val="28"/>
                <w:highlight w:val="none"/>
              </w:rPr>
            </w:pPr>
            <w:r>
              <w:rPr>
                <w:rFonts w:hint="eastAsia" w:ascii="仿宋" w:hAnsi="仿宋" w:eastAsia="仿宋"/>
                <w:sz w:val="28"/>
                <w:szCs w:val="28"/>
                <w:highlight w:val="none"/>
                <w:lang w:val="en-US" w:eastAsia="zh-CN"/>
              </w:rPr>
              <w:t>医疗保健产品灭菌 辐射 第2部分：建立灭菌剂量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GB 18280.3</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sz w:val="28"/>
                <w:szCs w:val="28"/>
                <w:highlight w:val="none"/>
              </w:rPr>
            </w:pPr>
            <w:r>
              <w:rPr>
                <w:rFonts w:hint="eastAsia" w:ascii="仿宋" w:hAnsi="仿宋" w:eastAsia="仿宋"/>
                <w:sz w:val="28"/>
                <w:szCs w:val="28"/>
                <w:highlight w:val="none"/>
                <w:lang w:val="en-US" w:eastAsia="zh-CN"/>
              </w:rPr>
              <w:t>医疗保健产品灭菌 辐射 第3部分：剂量测量指南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sz w:val="28"/>
                <w:szCs w:val="28"/>
                <w:highlight w:val="none"/>
              </w:rPr>
            </w:pPr>
            <w:r>
              <w:rPr>
                <w:rFonts w:hint="eastAsia" w:ascii="仿宋" w:hAnsi="仿宋" w:eastAsia="仿宋"/>
                <w:bCs/>
                <w:sz w:val="28"/>
                <w:szCs w:val="28"/>
                <w:highlight w:val="none"/>
              </w:rPr>
              <w:t>GB/T 19633.1</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sz w:val="28"/>
                <w:szCs w:val="28"/>
                <w:highlight w:val="none"/>
              </w:rPr>
            </w:pPr>
            <w:r>
              <w:rPr>
                <w:rFonts w:hint="eastAsia" w:ascii="仿宋" w:hAnsi="仿宋" w:eastAsia="仿宋"/>
                <w:bCs/>
                <w:sz w:val="28"/>
                <w:szCs w:val="28"/>
                <w:highlight w:val="none"/>
              </w:rPr>
              <w:t>最终灭菌医疗器械包装 第1部分</w:t>
            </w:r>
            <w:r>
              <w:rPr>
                <w:rFonts w:ascii="仿宋" w:hAnsi="仿宋" w:eastAsia="仿宋"/>
                <w:bCs/>
                <w:sz w:val="28"/>
                <w:szCs w:val="28"/>
                <w:highlight w:val="none"/>
              </w:rPr>
              <w:t>:材料、无菌屏障系统和包装系统的要求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bCs/>
                <w:sz w:val="28"/>
                <w:szCs w:val="28"/>
                <w:highlight w:val="none"/>
              </w:rPr>
            </w:pPr>
            <w:r>
              <w:rPr>
                <w:rFonts w:ascii="仿宋" w:hAnsi="仿宋" w:eastAsia="仿宋"/>
                <w:bCs/>
                <w:sz w:val="28"/>
                <w:szCs w:val="28"/>
                <w:highlight w:val="none"/>
              </w:rPr>
              <w:t>GB/T 19633.2</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bCs/>
                <w:sz w:val="28"/>
                <w:szCs w:val="28"/>
                <w:highlight w:val="none"/>
              </w:rPr>
            </w:pPr>
            <w:r>
              <w:rPr>
                <w:rFonts w:ascii="仿宋" w:hAnsi="仿宋" w:eastAsia="仿宋"/>
                <w:bCs/>
                <w:sz w:val="28"/>
                <w:szCs w:val="28"/>
                <w:highlight w:val="none"/>
              </w:rPr>
              <w:t>最终灭菌医疗器械包装 第2部分:成形、密封和装配过程的确认的要求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firstLine="0" w:firstLineChars="0"/>
              <w:textAlignment w:val="auto"/>
              <w:rPr>
                <w:rFonts w:hint="default" w:ascii="仿宋" w:hAnsi="仿宋" w:eastAsia="仿宋"/>
                <w:bCs/>
                <w:sz w:val="28"/>
                <w:szCs w:val="28"/>
                <w:highlight w:val="none"/>
                <w:lang w:val="en-US" w:eastAsia="zh-CN"/>
              </w:rPr>
            </w:pPr>
            <w:r>
              <w:rPr>
                <w:rFonts w:ascii="仿宋" w:hAnsi="仿宋" w:eastAsia="仿宋"/>
                <w:bCs/>
                <w:sz w:val="28"/>
                <w:szCs w:val="28"/>
                <w:highlight w:val="none"/>
              </w:rPr>
              <w:t>GB/T</w:t>
            </w:r>
            <w:r>
              <w:rPr>
                <w:rFonts w:hint="eastAsia" w:ascii="仿宋" w:hAnsi="仿宋" w:eastAsia="仿宋"/>
                <w:bCs/>
                <w:sz w:val="28"/>
                <w:szCs w:val="28"/>
                <w:highlight w:val="none"/>
                <w:lang w:val="en-US" w:eastAsia="zh-CN"/>
              </w:rPr>
              <w:t xml:space="preserve"> 24218.3</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firstLine="0" w:firstLineChars="0"/>
              <w:textAlignment w:val="auto"/>
              <w:rPr>
                <w:rFonts w:hint="default" w:ascii="仿宋" w:hAnsi="仿宋" w:eastAsia="仿宋"/>
                <w:bCs/>
                <w:sz w:val="28"/>
                <w:szCs w:val="28"/>
                <w:highlight w:val="none"/>
                <w:lang w:val="en-US" w:eastAsia="zh-CN"/>
              </w:rPr>
            </w:pPr>
            <w:r>
              <w:rPr>
                <w:rFonts w:hint="eastAsia" w:ascii="仿宋" w:hAnsi="仿宋" w:eastAsia="仿宋"/>
                <w:bCs/>
                <w:sz w:val="28"/>
                <w:szCs w:val="28"/>
                <w:highlight w:val="none"/>
                <w:lang w:eastAsia="zh-CN"/>
              </w:rPr>
              <w:t>纺织品</w:t>
            </w:r>
            <w:r>
              <w:rPr>
                <w:rFonts w:hint="eastAsia" w:ascii="仿宋" w:hAnsi="仿宋" w:eastAsia="仿宋"/>
                <w:bCs/>
                <w:sz w:val="28"/>
                <w:szCs w:val="28"/>
                <w:highlight w:val="none"/>
                <w:lang w:val="en-US" w:eastAsia="zh-CN"/>
              </w:rPr>
              <w:t xml:space="preserve"> 非织造布试验方法 第3部分：断裂强力和断裂伸长率的测定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cs="Times New Roman"/>
                <w:kern w:val="0"/>
                <w:sz w:val="28"/>
                <w:szCs w:val="28"/>
                <w:highlight w:val="none"/>
                <w:lang w:val="en-US" w:eastAsia="en-US" w:bidi="ar-SA"/>
              </w:rPr>
            </w:pPr>
            <w:r>
              <w:rPr>
                <w:rFonts w:hint="eastAsia" w:ascii="仿宋" w:hAnsi="仿宋" w:eastAsia="仿宋"/>
                <w:sz w:val="28"/>
                <w:szCs w:val="28"/>
                <w:highlight w:val="none"/>
              </w:rPr>
              <w:t>YY/T 0316</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cs="Times New Roman"/>
                <w:kern w:val="0"/>
                <w:sz w:val="28"/>
                <w:szCs w:val="28"/>
                <w:highlight w:val="none"/>
                <w:lang w:val="en-US" w:eastAsia="en-US" w:bidi="ar-SA"/>
              </w:rPr>
            </w:pPr>
            <w:r>
              <w:rPr>
                <w:rFonts w:hint="eastAsia" w:ascii="仿宋" w:hAnsi="仿宋" w:eastAsia="仿宋"/>
                <w:sz w:val="28"/>
                <w:szCs w:val="28"/>
                <w:highlight w:val="none"/>
              </w:rPr>
              <w:t>医疗器械</w:t>
            </w:r>
            <w:r>
              <w:rPr>
                <w:rFonts w:hint="eastAsia" w:ascii="仿宋" w:hAnsi="仿宋" w:eastAsia="仿宋"/>
                <w:sz w:val="28"/>
                <w:szCs w:val="28"/>
                <w:highlight w:val="none"/>
                <w:lang w:val="en-US" w:eastAsia="zh-CN"/>
              </w:rPr>
              <w:t xml:space="preserve"> </w:t>
            </w:r>
            <w:r>
              <w:rPr>
                <w:rFonts w:hint="eastAsia" w:ascii="仿宋" w:hAnsi="仿宋" w:eastAsia="仿宋"/>
                <w:sz w:val="28"/>
                <w:szCs w:val="28"/>
                <w:highlight w:val="none"/>
              </w:rPr>
              <w:t>风险管理对医疗器械的应用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cs="Times New Roman"/>
                <w:kern w:val="0"/>
                <w:sz w:val="28"/>
                <w:szCs w:val="28"/>
                <w:highlight w:val="none"/>
                <w:lang w:val="en-US" w:eastAsia="en-US" w:bidi="ar-SA"/>
              </w:rPr>
            </w:pPr>
            <w:r>
              <w:rPr>
                <w:rFonts w:hint="eastAsia" w:ascii="仿宋" w:hAnsi="仿宋" w:eastAsia="仿宋"/>
                <w:sz w:val="28"/>
                <w:szCs w:val="28"/>
                <w:highlight w:val="none"/>
              </w:rPr>
              <w:t>YY/T 0466.1</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cs="Times New Roman"/>
                <w:kern w:val="0"/>
                <w:sz w:val="28"/>
                <w:szCs w:val="28"/>
                <w:highlight w:val="none"/>
                <w:lang w:val="en-US" w:eastAsia="en-US" w:bidi="ar-SA"/>
              </w:rPr>
            </w:pPr>
            <w:r>
              <w:rPr>
                <w:rFonts w:hint="eastAsia" w:ascii="仿宋" w:hAnsi="仿宋" w:eastAsia="仿宋"/>
                <w:sz w:val="28"/>
                <w:szCs w:val="28"/>
                <w:highlight w:val="none"/>
              </w:rPr>
              <w:t>医疗器械 用于医疗器械标签、标记和提供信息的符号 第1部分：通用要求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YY/T 0506.1</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lang w:eastAsia="zh-CN"/>
              </w:rPr>
              <w:t>病人、医护人员和器械用手术单、手术衣和洁净服</w:t>
            </w:r>
            <w:r>
              <w:rPr>
                <w:rFonts w:hint="eastAsia" w:ascii="仿宋" w:hAnsi="仿宋" w:eastAsia="仿宋"/>
                <w:sz w:val="28"/>
                <w:szCs w:val="28"/>
                <w:highlight w:val="none"/>
                <w:lang w:val="en-US" w:eastAsia="zh-CN"/>
              </w:rPr>
              <w:t xml:space="preserve"> 第1部分：制衣厂、处理厂和产品的通用要求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YY/T 0506.2</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sz w:val="28"/>
                <w:szCs w:val="28"/>
                <w:highlight w:val="none"/>
                <w:lang w:eastAsia="zh-CN"/>
              </w:rPr>
            </w:pPr>
            <w:r>
              <w:rPr>
                <w:rFonts w:hint="eastAsia" w:ascii="仿宋" w:hAnsi="仿宋" w:eastAsia="仿宋"/>
                <w:sz w:val="28"/>
                <w:szCs w:val="28"/>
                <w:highlight w:val="none"/>
                <w:lang w:eastAsia="zh-CN"/>
              </w:rPr>
              <w:t>病人、医护人员和器械用手术单、手术衣和洁净服</w:t>
            </w:r>
            <w:r>
              <w:rPr>
                <w:rFonts w:hint="eastAsia" w:ascii="仿宋" w:hAnsi="仿宋" w:eastAsia="仿宋"/>
                <w:sz w:val="28"/>
                <w:szCs w:val="28"/>
                <w:highlight w:val="none"/>
                <w:lang w:val="en-US" w:eastAsia="zh-CN"/>
              </w:rPr>
              <w:t xml:space="preserve"> 第2部分：性能要求和试验方法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sz w:val="28"/>
                <w:szCs w:val="28"/>
                <w:highlight w:val="none"/>
                <w:lang w:val="en-US" w:eastAsia="zh-CN"/>
              </w:rPr>
            </w:pPr>
            <w:r>
              <w:rPr>
                <w:rFonts w:hint="eastAsia" w:ascii="仿宋" w:hAnsi="仿宋" w:eastAsia="仿宋"/>
                <w:sz w:val="28"/>
                <w:szCs w:val="28"/>
                <w:highlight w:val="none"/>
                <w:lang w:val="en-US" w:eastAsia="zh-CN"/>
              </w:rPr>
              <w:t>YY/T 0506.4</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sz w:val="28"/>
                <w:szCs w:val="28"/>
                <w:highlight w:val="none"/>
                <w:lang w:eastAsia="zh-CN"/>
              </w:rPr>
            </w:pPr>
            <w:r>
              <w:rPr>
                <w:rFonts w:hint="eastAsia" w:ascii="仿宋" w:hAnsi="仿宋" w:eastAsia="仿宋"/>
                <w:sz w:val="28"/>
                <w:szCs w:val="28"/>
                <w:highlight w:val="none"/>
                <w:lang w:eastAsia="zh-CN"/>
              </w:rPr>
              <w:t>病人、医护人员和器械用手术单、手术衣和洁净服</w:t>
            </w:r>
            <w:r>
              <w:rPr>
                <w:rFonts w:hint="eastAsia" w:ascii="仿宋" w:hAnsi="仿宋" w:eastAsia="仿宋"/>
                <w:sz w:val="28"/>
                <w:szCs w:val="28"/>
                <w:highlight w:val="none"/>
                <w:lang w:val="en-US" w:eastAsia="zh-CN"/>
              </w:rPr>
              <w:t xml:space="preserve"> 第4部分：干态落絮试验方法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YY/T 0506.5</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sz w:val="28"/>
                <w:szCs w:val="28"/>
                <w:highlight w:val="none"/>
                <w:lang w:eastAsia="zh-CN"/>
              </w:rPr>
            </w:pPr>
            <w:r>
              <w:rPr>
                <w:rFonts w:hint="eastAsia" w:ascii="仿宋" w:hAnsi="仿宋" w:eastAsia="仿宋"/>
                <w:sz w:val="28"/>
                <w:szCs w:val="28"/>
                <w:highlight w:val="none"/>
                <w:lang w:eastAsia="zh-CN"/>
              </w:rPr>
              <w:t>病人、医护人员和器械用手术单、手术衣和洁净服</w:t>
            </w:r>
            <w:r>
              <w:rPr>
                <w:rFonts w:hint="eastAsia" w:ascii="仿宋" w:hAnsi="仿宋" w:eastAsia="仿宋"/>
                <w:sz w:val="28"/>
                <w:szCs w:val="28"/>
                <w:highlight w:val="none"/>
                <w:lang w:val="en-US" w:eastAsia="zh-CN"/>
              </w:rPr>
              <w:t xml:space="preserve"> 第5部分：阻干态微生物穿透试验方法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sz w:val="28"/>
                <w:szCs w:val="28"/>
                <w:highlight w:val="none"/>
                <w:lang w:val="en-US" w:eastAsia="zh-CN"/>
              </w:rPr>
            </w:pPr>
            <w:r>
              <w:rPr>
                <w:rFonts w:hint="eastAsia" w:ascii="仿宋" w:hAnsi="仿宋" w:eastAsia="仿宋"/>
                <w:sz w:val="28"/>
                <w:szCs w:val="28"/>
                <w:highlight w:val="none"/>
                <w:lang w:val="en-US" w:eastAsia="zh-CN"/>
              </w:rPr>
              <w:t>YY/T 0506.6</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sz w:val="28"/>
                <w:szCs w:val="28"/>
                <w:highlight w:val="none"/>
                <w:lang w:eastAsia="zh-CN"/>
              </w:rPr>
            </w:pPr>
            <w:r>
              <w:rPr>
                <w:rFonts w:hint="eastAsia" w:ascii="仿宋" w:hAnsi="仿宋" w:eastAsia="仿宋"/>
                <w:sz w:val="28"/>
                <w:szCs w:val="28"/>
                <w:highlight w:val="none"/>
                <w:lang w:eastAsia="zh-CN"/>
              </w:rPr>
              <w:t>病人、医护人员和器械用手术单、手术衣和洁净服</w:t>
            </w:r>
            <w:r>
              <w:rPr>
                <w:rFonts w:hint="eastAsia" w:ascii="仿宋" w:hAnsi="仿宋" w:eastAsia="仿宋"/>
                <w:sz w:val="28"/>
                <w:szCs w:val="28"/>
                <w:highlight w:val="none"/>
                <w:lang w:val="en-US" w:eastAsia="zh-CN"/>
              </w:rPr>
              <w:t xml:space="preserve"> 第6部分：阻湿态微生物穿透试验方法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YY/T 0506.7</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sz w:val="28"/>
                <w:szCs w:val="28"/>
                <w:highlight w:val="none"/>
                <w:lang w:eastAsia="zh-CN"/>
              </w:rPr>
            </w:pPr>
            <w:r>
              <w:rPr>
                <w:rFonts w:hint="eastAsia" w:ascii="仿宋" w:hAnsi="仿宋" w:eastAsia="仿宋"/>
                <w:sz w:val="28"/>
                <w:szCs w:val="28"/>
                <w:highlight w:val="none"/>
                <w:lang w:eastAsia="zh-CN"/>
              </w:rPr>
              <w:t>病人、医护人员和器械用手术单、手术衣和洁净服</w:t>
            </w:r>
            <w:r>
              <w:rPr>
                <w:rFonts w:hint="eastAsia" w:ascii="仿宋" w:hAnsi="仿宋" w:eastAsia="仿宋"/>
                <w:sz w:val="28"/>
                <w:szCs w:val="28"/>
                <w:highlight w:val="none"/>
                <w:lang w:val="en-US" w:eastAsia="zh-CN"/>
              </w:rPr>
              <w:t xml:space="preserve"> 第7部分：洁净度-微生物试验方法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YY/T 0506.8</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lang w:eastAsia="zh-CN"/>
              </w:rPr>
              <w:t>病人、医护人员和器械用手术单、手术衣和洁净服</w:t>
            </w:r>
            <w:r>
              <w:rPr>
                <w:rFonts w:hint="eastAsia" w:ascii="仿宋" w:hAnsi="仿宋" w:eastAsia="仿宋"/>
                <w:sz w:val="28"/>
                <w:szCs w:val="28"/>
                <w:highlight w:val="none"/>
                <w:lang w:val="en-US" w:eastAsia="zh-CN"/>
              </w:rPr>
              <w:t xml:space="preserve"> 第8部分：产品专用要求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cs="Times New Roman"/>
                <w:kern w:val="0"/>
                <w:sz w:val="28"/>
                <w:szCs w:val="28"/>
                <w:highlight w:val="none"/>
                <w:lang w:val="en-US" w:eastAsia="en-US" w:bidi="ar-SA"/>
              </w:rPr>
            </w:pPr>
            <w:r>
              <w:rPr>
                <w:rFonts w:hint="eastAsia" w:ascii="仿宋" w:hAnsi="仿宋" w:eastAsia="仿宋"/>
                <w:sz w:val="28"/>
                <w:szCs w:val="28"/>
                <w:highlight w:val="none"/>
              </w:rPr>
              <w:t>YY/T 0615.1</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cs="Times New Roman"/>
                <w:kern w:val="0"/>
                <w:sz w:val="28"/>
                <w:szCs w:val="28"/>
                <w:highlight w:val="none"/>
                <w:lang w:val="en-US" w:eastAsia="en-US" w:bidi="ar-SA"/>
              </w:rPr>
            </w:pPr>
            <w:r>
              <w:rPr>
                <w:rFonts w:hint="eastAsia" w:ascii="仿宋" w:hAnsi="仿宋" w:eastAsia="仿宋"/>
                <w:sz w:val="28"/>
                <w:szCs w:val="28"/>
                <w:highlight w:val="none"/>
              </w:rPr>
              <w:t>标示“无菌”医疗器械的要求 第1部分：最终灭菌医疗器械的要求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cs="Times New Roman"/>
                <w:kern w:val="0"/>
                <w:sz w:val="28"/>
                <w:szCs w:val="28"/>
                <w:highlight w:val="none"/>
                <w:lang w:val="en-US" w:eastAsia="en-US" w:bidi="ar-SA"/>
              </w:rPr>
            </w:pPr>
            <w:r>
              <w:rPr>
                <w:rFonts w:ascii="仿宋" w:hAnsi="仿宋" w:eastAsia="仿宋"/>
                <w:sz w:val="28"/>
                <w:szCs w:val="28"/>
                <w:highlight w:val="none"/>
              </w:rPr>
              <w:t>YY/T 0681.1</w:t>
            </w:r>
          </w:p>
        </w:tc>
        <w:tc>
          <w:tcPr>
            <w:tcW w:w="6432" w:type="dxa"/>
            <w:noWrap w:val="0"/>
            <w:vAlign w:val="center"/>
          </w:tcPr>
          <w:p>
            <w:pPr>
              <w:pStyle w:val="30"/>
              <w:keepNext w:val="0"/>
              <w:keepLines w:val="0"/>
              <w:pageBreakBefore w:val="0"/>
              <w:widowControl/>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cs="Times New Roman"/>
                <w:kern w:val="0"/>
                <w:sz w:val="28"/>
                <w:szCs w:val="28"/>
                <w:highlight w:val="none"/>
                <w:lang w:val="en-US" w:eastAsia="en-US" w:bidi="ar-SA"/>
              </w:rPr>
            </w:pPr>
            <w:r>
              <w:rPr>
                <w:rFonts w:hint="eastAsia" w:ascii="仿宋" w:hAnsi="仿宋" w:eastAsia="仿宋"/>
                <w:sz w:val="28"/>
                <w:szCs w:val="28"/>
                <w:highlight w:val="none"/>
              </w:rPr>
              <w:t>无菌医疗器械包装试验方法 第1部分：加速老化试验指南</w:t>
            </w:r>
          </w:p>
        </w:tc>
      </w:tr>
    </w:tbl>
    <w:p>
      <w:pPr>
        <w:keepNext w:val="0"/>
        <w:keepLines w:val="0"/>
        <w:pageBreakBefore w:val="0"/>
        <w:widowControl w:val="0"/>
        <w:kinsoku/>
        <w:wordWrap/>
        <w:overflowPunct/>
        <w:topLinePunct w:val="0"/>
        <w:autoSpaceDE/>
        <w:autoSpaceDN/>
        <w:bidi w:val="0"/>
        <w:adjustRightInd/>
        <w:snapToGrid/>
        <w:spacing w:before="312" w:beforeLines="100" w:line="520" w:lineRule="exact"/>
        <w:ind w:firstLine="640" w:firstLineChars="200"/>
        <w:textAlignment w:val="auto"/>
        <w:rPr>
          <w:rStyle w:val="39"/>
          <w:rFonts w:hint="default" w:ascii="Times New Roman" w:hAnsi="Times New Roman" w:eastAsia="仿宋_GB2312" w:cs="Times New Roman"/>
          <w:color w:val="000000"/>
          <w:sz w:val="32"/>
        </w:rPr>
      </w:pPr>
      <w:r>
        <w:rPr>
          <w:rStyle w:val="39"/>
          <w:rFonts w:hint="default" w:ascii="Times New Roman" w:hAnsi="Times New Roman" w:eastAsia="仿宋_GB2312" w:cs="Times New Roman"/>
          <w:color w:val="000000"/>
          <w:sz w:val="32"/>
        </w:rPr>
        <w:t>上述标准包括了产品技术要求中经常涉及到的标准。申请人需要根据产品的特点引用以上标准中适用的标准，特殊需要时也可以引用其他标准。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如有新版国家标准、行业标准发布实施，产品性能指标等要求应执行最新版本的国家标准、行业标准。</w:t>
      </w:r>
    </w:p>
    <w:p>
      <w:pPr>
        <w:pStyle w:val="4"/>
        <w:pageBreakBefore w:val="0"/>
        <w:widowControl w:val="0"/>
        <w:kinsoku/>
        <w:wordWrap/>
        <w:overflowPunct/>
        <w:topLinePunct w:val="0"/>
        <w:bidi w:val="0"/>
        <w:snapToGrid/>
        <w:spacing w:line="520" w:lineRule="exact"/>
        <w:textAlignment w:val="auto"/>
        <w:rPr>
          <w:rFonts w:hint="default"/>
          <w:lang w:val="en-US" w:eastAsia="zh-CN"/>
        </w:rPr>
      </w:pPr>
      <w:r>
        <w:rPr>
          <w:rFonts w:hint="eastAsia"/>
          <w:lang w:val="en-US" w:eastAsia="zh-CN"/>
        </w:rPr>
        <w:t>4.</w:t>
      </w:r>
      <w:r>
        <w:t>同一注册单元内注册检验典型性产品确定原则</w:t>
      </w:r>
    </w:p>
    <w:p>
      <w:pPr>
        <w:pageBreakBefore w:val="0"/>
        <w:widowControl w:val="0"/>
        <w:numPr>
          <w:ilvl w:val="-1"/>
          <w:numId w:val="0"/>
        </w:numPr>
        <w:kinsoku/>
        <w:wordWrap/>
        <w:overflowPunct/>
        <w:topLinePunct w:val="0"/>
        <w:bidi w:val="0"/>
        <w:snapToGrid/>
        <w:spacing w:line="520" w:lineRule="exact"/>
        <w:ind w:firstLine="640" w:firstLineChars="200"/>
        <w:textAlignment w:val="auto"/>
        <w:rPr>
          <w:rFonts w:hint="eastAsia" w:ascii="仿宋" w:hAnsi="仿宋" w:eastAsia="仿宋" w:cs="仿宋"/>
          <w:bCs w:val="0"/>
          <w:color w:val="000000"/>
          <w:sz w:val="32"/>
          <w:szCs w:val="32"/>
          <w:lang w:eastAsia="zh-CN"/>
        </w:rPr>
      </w:pPr>
      <w:r>
        <w:rPr>
          <w:rFonts w:hint="eastAsia" w:ascii="仿宋" w:hAnsi="仿宋" w:eastAsia="仿宋" w:cs="仿宋"/>
          <w:bCs w:val="0"/>
          <w:color w:val="000000"/>
          <w:sz w:val="32"/>
          <w:szCs w:val="32"/>
          <w:lang w:eastAsia="zh-CN"/>
        </w:rPr>
        <w:t>注册申请人应提供典型性检验样品的选择说明，所检验型号产品应当是本注册单元内能够代表申报的其他型号产品安全性和有效性的典型产品。</w:t>
      </w:r>
    </w:p>
    <w:p>
      <w:pPr>
        <w:pageBreakBefore w:val="0"/>
        <w:widowControl w:val="0"/>
        <w:numPr>
          <w:ilvl w:val="-1"/>
          <w:numId w:val="0"/>
        </w:numPr>
        <w:kinsoku/>
        <w:wordWrap/>
        <w:overflowPunct/>
        <w:topLinePunct w:val="0"/>
        <w:bidi w:val="0"/>
        <w:snapToGrid/>
        <w:spacing w:line="520" w:lineRule="exact"/>
        <w:ind w:firstLine="640" w:firstLineChars="200"/>
        <w:textAlignment w:val="auto"/>
        <w:rPr>
          <w:rFonts w:hint="eastAsia" w:ascii="仿宋" w:hAnsi="仿宋" w:eastAsia="仿宋" w:cs="仿宋"/>
          <w:bCs w:val="0"/>
          <w:color w:val="000000"/>
          <w:sz w:val="32"/>
          <w:szCs w:val="32"/>
          <w:lang w:eastAsia="zh-CN"/>
        </w:rPr>
      </w:pPr>
      <w:r>
        <w:rPr>
          <w:rFonts w:hint="eastAsia" w:ascii="仿宋" w:hAnsi="仿宋" w:eastAsia="仿宋" w:cs="仿宋"/>
          <w:bCs w:val="0"/>
          <w:color w:val="000000"/>
          <w:sz w:val="32"/>
          <w:szCs w:val="32"/>
          <w:lang w:val="en-US" w:eastAsia="zh-CN"/>
        </w:rPr>
        <w:t>a.</w:t>
      </w:r>
      <w:r>
        <w:rPr>
          <w:rFonts w:hint="eastAsia" w:ascii="仿宋" w:hAnsi="仿宋" w:eastAsia="仿宋" w:cs="仿宋"/>
          <w:bCs w:val="0"/>
          <w:color w:val="000000"/>
          <w:sz w:val="32"/>
          <w:szCs w:val="32"/>
          <w:lang w:eastAsia="zh-CN"/>
        </w:rPr>
        <w:t>申报产品不同型号组成材料不同，应分别进行检验。</w:t>
      </w:r>
    </w:p>
    <w:p>
      <w:pPr>
        <w:pageBreakBefore w:val="0"/>
        <w:widowControl w:val="0"/>
        <w:numPr>
          <w:ilvl w:val="-1"/>
          <w:numId w:val="0"/>
        </w:numPr>
        <w:kinsoku/>
        <w:wordWrap/>
        <w:overflowPunct/>
        <w:topLinePunct w:val="0"/>
        <w:bidi w:val="0"/>
        <w:snapToGrid/>
        <w:spacing w:line="520" w:lineRule="exact"/>
        <w:ind w:firstLine="640" w:firstLineChars="200"/>
        <w:textAlignment w:val="auto"/>
        <w:rPr>
          <w:rFonts w:hint="eastAsia" w:ascii="仿宋" w:hAnsi="仿宋" w:eastAsia="仿宋" w:cs="仿宋"/>
          <w:bCs w:val="0"/>
          <w:color w:val="000000"/>
          <w:sz w:val="32"/>
          <w:szCs w:val="32"/>
          <w:lang w:val="en-US" w:eastAsia="zh-CN"/>
        </w:rPr>
      </w:pPr>
      <w:r>
        <w:rPr>
          <w:rFonts w:hint="eastAsia" w:ascii="仿宋" w:hAnsi="仿宋" w:eastAsia="仿宋" w:cs="仿宋"/>
          <w:bCs w:val="0"/>
          <w:color w:val="000000"/>
          <w:sz w:val="32"/>
          <w:szCs w:val="32"/>
          <w:lang w:val="en-US" w:eastAsia="zh-CN"/>
        </w:rPr>
        <w:t>b.若不同型号产品组成材料相同，结构不同，应对差异性指标进行检验。</w:t>
      </w:r>
    </w:p>
    <w:p>
      <w:pPr>
        <w:pStyle w:val="3"/>
        <w:pageBreakBefore w:val="0"/>
        <w:widowControl w:val="0"/>
        <w:kinsoku/>
        <w:wordWrap/>
        <w:overflowPunct/>
        <w:topLinePunct w:val="0"/>
        <w:bidi w:val="0"/>
        <w:snapToGrid/>
        <w:spacing w:line="520" w:lineRule="exact"/>
        <w:textAlignment w:val="auto"/>
        <w:rPr>
          <w:rFonts w:hint="eastAsia"/>
          <w:lang w:val="en-US" w:eastAsia="zh-CN"/>
        </w:rPr>
      </w:pPr>
      <w:r>
        <w:rPr>
          <w:rFonts w:hint="eastAsia"/>
          <w:lang w:val="en-US" w:eastAsia="zh-CN"/>
        </w:rPr>
        <w:t>（四）临床评价资料</w:t>
      </w:r>
    </w:p>
    <w:p>
      <w:pPr>
        <w:pageBreakBefore w:val="0"/>
        <w:widowControl w:val="0"/>
        <w:tabs>
          <w:tab w:val="left" w:pos="312"/>
        </w:tabs>
        <w:kinsoku/>
        <w:wordWrap/>
        <w:overflowPunct/>
        <w:topLinePunct w:val="0"/>
        <w:bidi w:val="0"/>
        <w:snapToGrid/>
        <w:spacing w:line="520" w:lineRule="exact"/>
        <w:ind w:firstLine="640" w:firstLineChars="200"/>
        <w:textAlignment w:val="auto"/>
        <w:rPr>
          <w:rFonts w:hint="eastAsia" w:ascii="Times New Roman" w:hAnsi="Times New Roman" w:eastAsia="楷体_GB2312" w:cs="Times New Roman"/>
          <w:sz w:val="32"/>
          <w:szCs w:val="32"/>
        </w:rPr>
      </w:pPr>
      <w:r>
        <w:rPr>
          <w:rFonts w:hint="eastAsia" w:eastAsia="仿宋_GB2312"/>
          <w:color w:val="000000"/>
          <w:sz w:val="32"/>
          <w:szCs w:val="32"/>
        </w:rPr>
        <w:t>该产品</w:t>
      </w:r>
      <w:r>
        <w:rPr>
          <w:rFonts w:eastAsia="仿宋_GB2312"/>
          <w:color w:val="000000"/>
          <w:sz w:val="32"/>
          <w:szCs w:val="32"/>
        </w:rPr>
        <w:t>列入《</w:t>
      </w:r>
      <w:r>
        <w:rPr>
          <w:rFonts w:hint="eastAsia" w:eastAsia="仿宋_GB2312"/>
          <w:color w:val="000000"/>
          <w:sz w:val="32"/>
          <w:szCs w:val="32"/>
        </w:rPr>
        <w:t>免于临床评价医疗器械目录</w:t>
      </w:r>
      <w:r>
        <w:rPr>
          <w:rFonts w:eastAsia="仿宋_GB2312"/>
          <w:color w:val="000000"/>
          <w:sz w:val="32"/>
          <w:szCs w:val="32"/>
        </w:rPr>
        <w:t>》</w:t>
      </w:r>
      <w:r>
        <w:rPr>
          <w:rFonts w:hint="eastAsia" w:eastAsia="仿宋_GB2312"/>
          <w:color w:val="000000"/>
          <w:sz w:val="32"/>
          <w:szCs w:val="32"/>
        </w:rPr>
        <w:t>，申请人</w:t>
      </w:r>
      <w:r>
        <w:rPr>
          <w:rFonts w:eastAsia="仿宋_GB2312"/>
          <w:color w:val="000000"/>
          <w:sz w:val="32"/>
          <w:szCs w:val="32"/>
        </w:rPr>
        <w:t>无需提交</w:t>
      </w:r>
      <w:r>
        <w:rPr>
          <w:rFonts w:hint="eastAsia" w:eastAsia="仿宋_GB2312"/>
          <w:color w:val="000000"/>
          <w:sz w:val="32"/>
          <w:szCs w:val="32"/>
        </w:rPr>
        <w:t>临床</w:t>
      </w:r>
      <w:r>
        <w:rPr>
          <w:rFonts w:eastAsia="仿宋_GB2312"/>
          <w:color w:val="000000"/>
          <w:sz w:val="32"/>
          <w:szCs w:val="32"/>
        </w:rPr>
        <w:t>评价资料。</w:t>
      </w:r>
    </w:p>
    <w:p>
      <w:pPr>
        <w:pStyle w:val="3"/>
        <w:pageBreakBefore w:val="0"/>
        <w:widowControl w:val="0"/>
        <w:kinsoku/>
        <w:wordWrap/>
        <w:overflowPunct/>
        <w:topLinePunct w:val="0"/>
        <w:bidi w:val="0"/>
        <w:snapToGrid/>
        <w:spacing w:line="520" w:lineRule="exact"/>
        <w:textAlignment w:val="auto"/>
        <w:rPr>
          <w:rFonts w:hint="eastAsia"/>
          <w:lang w:eastAsia="zh-CN"/>
        </w:rPr>
      </w:pPr>
      <w:r>
        <w:rPr>
          <w:rFonts w:hint="eastAsia"/>
          <w:lang w:eastAsia="zh-CN"/>
        </w:rPr>
        <w:t>（五）产</w:t>
      </w:r>
      <w:r>
        <w:t>品说明书和标签要求</w:t>
      </w:r>
    </w:p>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640" w:firstLineChars="200"/>
        <w:textAlignment w:val="auto"/>
        <w:rPr>
          <w:rFonts w:hint="eastAsia" w:eastAsia="仿宋_GB2312"/>
          <w:color w:val="000000"/>
          <w:kern w:val="0"/>
          <w:sz w:val="32"/>
          <w:szCs w:val="32"/>
          <w:highlight w:val="none"/>
          <w:lang w:val="en-US" w:eastAsia="zh-CN"/>
        </w:rPr>
      </w:pPr>
      <w:r>
        <w:rPr>
          <w:rFonts w:hint="eastAsia" w:ascii="仿宋" w:hAnsi="仿宋" w:eastAsia="仿宋" w:cs="仿宋"/>
          <w:color w:val="000000"/>
          <w:sz w:val="32"/>
          <w:szCs w:val="32"/>
          <w:lang w:val="en-US" w:eastAsia="zh-CN"/>
        </w:rPr>
        <w:t>一次性使用手术帽</w:t>
      </w:r>
      <w:r>
        <w:rPr>
          <w:rFonts w:hint="eastAsia" w:ascii="仿宋" w:hAnsi="仿宋" w:eastAsia="仿宋" w:cs="仿宋"/>
          <w:color w:val="000000"/>
          <w:sz w:val="32"/>
          <w:szCs w:val="32"/>
        </w:rPr>
        <w:t>产品说明书</w:t>
      </w:r>
      <w:r>
        <w:rPr>
          <w:rFonts w:hint="eastAsia" w:ascii="仿宋" w:hAnsi="仿宋" w:eastAsia="仿宋" w:cs="仿宋"/>
          <w:color w:val="000000"/>
          <w:sz w:val="32"/>
          <w:szCs w:val="32"/>
          <w:lang w:eastAsia="zh-CN"/>
        </w:rPr>
        <w:t>和标签的编写</w:t>
      </w:r>
      <w:r>
        <w:rPr>
          <w:rFonts w:hint="eastAsia" w:ascii="仿宋" w:hAnsi="仿宋" w:eastAsia="仿宋" w:cs="仿宋"/>
          <w:color w:val="000000"/>
          <w:sz w:val="32"/>
          <w:szCs w:val="32"/>
        </w:rPr>
        <w:t>应符合《医疗器械说明书和标签管理规定》（</w:t>
      </w:r>
      <w:r>
        <w:rPr>
          <w:rFonts w:hint="eastAsia" w:ascii="仿宋" w:hAnsi="仿宋" w:eastAsia="仿宋" w:cs="仿宋"/>
          <w:color w:val="000000"/>
          <w:sz w:val="32"/>
          <w:szCs w:val="32"/>
          <w:lang w:eastAsia="zh-CN"/>
        </w:rPr>
        <w:t>原</w:t>
      </w:r>
      <w:r>
        <w:rPr>
          <w:rFonts w:hint="eastAsia" w:ascii="仿宋" w:hAnsi="仿宋" w:eastAsia="仿宋" w:cs="仿宋"/>
          <w:color w:val="000000"/>
          <w:sz w:val="32"/>
          <w:szCs w:val="32"/>
        </w:rPr>
        <w:t>国家食品药品监督管理总局令第6号）</w:t>
      </w:r>
      <w:r>
        <w:rPr>
          <w:rFonts w:hint="eastAsia" w:ascii="仿宋" w:hAnsi="仿宋" w:eastAsia="仿宋" w:cs="仿宋"/>
          <w:color w:val="000000"/>
          <w:sz w:val="32"/>
          <w:szCs w:val="32"/>
          <w:lang w:eastAsia="zh-CN"/>
        </w:rPr>
        <w:t>及相关标准的要求。</w:t>
      </w:r>
      <w:r>
        <w:rPr>
          <w:rFonts w:hint="eastAsia" w:eastAsia="仿宋_GB2312"/>
          <w:color w:val="000000"/>
          <w:kern w:val="0"/>
          <w:sz w:val="32"/>
          <w:szCs w:val="32"/>
          <w:highlight w:val="none"/>
          <w:lang w:val="en-US" w:eastAsia="zh-CN"/>
        </w:rPr>
        <w:t>说明书中关于产品性能特征的描述不应超过注册申请人提交的研究资料及产品技术要求，不得含有未经验证的夸大宣传的相关描述。</w:t>
      </w:r>
    </w:p>
    <w:p>
      <w:pPr>
        <w:pStyle w:val="3"/>
        <w:pageBreakBefore w:val="0"/>
        <w:kinsoku/>
        <w:wordWrap/>
        <w:topLinePunct w:val="0"/>
        <w:bidi w:val="0"/>
        <w:adjustRightInd/>
        <w:snapToGrid/>
        <w:spacing w:line="520" w:lineRule="exact"/>
        <w:textAlignment w:val="auto"/>
        <w:rPr>
          <w:rFonts w:hint="default" w:ascii="Times New Roman" w:hAnsi="Times New Roman" w:eastAsia="楷体_GB2312" w:cs="Times New Roman"/>
          <w:color w:val="000000"/>
          <w:sz w:val="32"/>
          <w:szCs w:val="32"/>
        </w:rPr>
      </w:pPr>
      <w:bookmarkStart w:id="3" w:name="_Toc432753647"/>
      <w:r>
        <w:rPr>
          <w:rFonts w:hint="default" w:ascii="Times New Roman" w:hAnsi="Times New Roman" w:eastAsia="楷体_GB2312" w:cs="Times New Roman"/>
          <w:color w:val="000000"/>
          <w:sz w:val="32"/>
          <w:szCs w:val="32"/>
          <w:lang w:val="en"/>
        </w:rPr>
        <w:t>（</w:t>
      </w:r>
      <w:r>
        <w:rPr>
          <w:rFonts w:hint="default" w:ascii="Times New Roman" w:hAnsi="Times New Roman" w:eastAsia="楷体_GB2312" w:cs="Times New Roman"/>
          <w:color w:val="000000"/>
          <w:sz w:val="32"/>
          <w:szCs w:val="32"/>
        </w:rPr>
        <w:t>六）质量管理体系</w:t>
      </w:r>
      <w:bookmarkEnd w:id="3"/>
    </w:p>
    <w:p>
      <w:pPr>
        <w:pStyle w:val="30"/>
        <w:keepNext w:val="0"/>
        <w:keepLines w:val="0"/>
        <w:pageBreakBefore w:val="0"/>
        <w:kinsoku/>
        <w:wordWrap/>
        <w:overflowPunct w:val="0"/>
        <w:topLinePunct w:val="0"/>
        <w:autoSpaceDE w:val="0"/>
        <w:autoSpaceDN w:val="0"/>
        <w:bidi w:val="0"/>
        <w:adjustRightInd/>
        <w:snapToGrid/>
        <w:spacing w:line="520" w:lineRule="exact"/>
        <w:ind w:left="0" w:leftChars="0" w:firstLine="640" w:firstLineChars="200"/>
        <w:textAlignment w:val="auto"/>
        <w:outlineLvl w:val="2"/>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生产制造信息</w:t>
      </w:r>
    </w:p>
    <w:p>
      <w:pPr>
        <w:pStyle w:val="4"/>
        <w:pageBreakBefore w:val="0"/>
        <w:kinsoku/>
        <w:wordWrap/>
        <w:topLinePunct w:val="0"/>
        <w:bidi w:val="0"/>
        <w:adjustRightInd/>
        <w:snapToGrid/>
        <w:spacing w:line="520" w:lineRule="exact"/>
        <w:textAlignment w:val="auto"/>
        <w:rPr>
          <w:rFonts w:hint="default" w:ascii="Times New Roman" w:hAnsi="Times New Roman" w:eastAsia="仿宋_GB2312" w:cs="Times New Roman"/>
          <w:bCs/>
          <w:snapToGrid w:val="0"/>
          <w:kern w:val="0"/>
          <w:sz w:val="32"/>
          <w:szCs w:val="32"/>
        </w:rPr>
      </w:pPr>
      <w:r>
        <w:rPr>
          <w:rFonts w:hint="eastAsia" w:eastAsia="仿宋_GB2312" w:cs="Times New Roman"/>
          <w:bCs/>
          <w:snapToGrid w:val="0"/>
          <w:spacing w:val="-1"/>
          <w:kern w:val="0"/>
          <w:sz w:val="32"/>
          <w:szCs w:val="32"/>
          <w:lang w:val="en-US" w:eastAsia="zh-CN"/>
        </w:rPr>
        <w:t>1.</w:t>
      </w:r>
      <w:r>
        <w:rPr>
          <w:rFonts w:ascii="Times New Roman" w:hAnsi="Times New Roman" w:eastAsia="楷体_GB2312" w:cs="Times New Roman"/>
          <w:sz w:val="32"/>
          <w:szCs w:val="32"/>
        </w:rPr>
        <w:t>产品生产制造相关要求</w:t>
      </w:r>
    </w:p>
    <w:p>
      <w:pPr>
        <w:pageBreakBefore w:val="0"/>
        <w:numPr>
          <w:ilvl w:val="0"/>
          <w:numId w:val="0"/>
        </w:numPr>
        <w:kinsoku/>
        <w:wordWrap/>
        <w:topLinePunct w:val="0"/>
        <w:bidi w:val="0"/>
        <w:adjustRightInd/>
        <w:snapToGrid/>
        <w:spacing w:line="52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eastAsia="zh-CN"/>
        </w:rPr>
        <w:t>注册申请人应根据申报产品的实际情况，以流程图的形式对一次性使用手术帽的</w:t>
      </w:r>
      <w:r>
        <w:rPr>
          <w:rFonts w:hint="eastAsia" w:ascii="仿宋" w:hAnsi="仿宋" w:eastAsia="仿宋" w:cs="仿宋"/>
          <w:color w:val="000000"/>
          <w:sz w:val="32"/>
          <w:szCs w:val="32"/>
        </w:rPr>
        <w:t>生产工艺</w:t>
      </w:r>
      <w:r>
        <w:rPr>
          <w:rFonts w:hint="eastAsia" w:ascii="仿宋" w:hAnsi="仿宋" w:eastAsia="仿宋" w:cs="仿宋"/>
          <w:color w:val="000000"/>
          <w:sz w:val="32"/>
          <w:szCs w:val="32"/>
          <w:lang w:eastAsia="zh-CN"/>
        </w:rPr>
        <w:t>进行详细描述</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工艺过程中的关键工艺和特殊工艺应在工艺流程中标示清楚，</w:t>
      </w:r>
      <w:r>
        <w:rPr>
          <w:rFonts w:hint="eastAsia" w:ascii="仿宋" w:hAnsi="仿宋" w:eastAsia="仿宋" w:cs="仿宋"/>
          <w:color w:val="000000"/>
          <w:sz w:val="32"/>
          <w:szCs w:val="32"/>
        </w:rPr>
        <w:t>并说明其过程控制点</w:t>
      </w:r>
      <w:r>
        <w:rPr>
          <w:rFonts w:hint="eastAsia" w:ascii="仿宋" w:hAnsi="仿宋" w:eastAsia="仿宋" w:cs="仿宋"/>
          <w:color w:val="000000"/>
          <w:sz w:val="32"/>
          <w:szCs w:val="32"/>
          <w:lang w:eastAsia="zh-CN"/>
        </w:rPr>
        <w:t>，并明确关键工序和特殊工序的工艺参数。</w:t>
      </w:r>
    </w:p>
    <w:p>
      <w:pPr>
        <w:pageBreakBefore w:val="0"/>
        <w:numPr>
          <w:ilvl w:val="0"/>
          <w:numId w:val="0"/>
        </w:numPr>
        <w:kinsoku/>
        <w:wordWrap/>
        <w:topLinePunct w:val="0"/>
        <w:bidi w:val="0"/>
        <w:adjustRightInd/>
        <w:snapToGrid/>
        <w:spacing w:line="52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举例：领取原材料—裁切—折叠—☆缝制—</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初包装—外包装—</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灭菌—解析（若适用）—出库</w:t>
      </w:r>
    </w:p>
    <w:p>
      <w:pPr>
        <w:pageBreakBefore w:val="0"/>
        <w:numPr>
          <w:ilvl w:val="0"/>
          <w:numId w:val="0"/>
        </w:numPr>
        <w:kinsoku/>
        <w:wordWrap/>
        <w:topLinePunct w:val="0"/>
        <w:bidi w:val="0"/>
        <w:adjustRightInd/>
        <w:snapToGrid/>
        <w:spacing w:line="52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其中：☆为关键工艺，</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为特殊工艺。</w:t>
      </w:r>
    </w:p>
    <w:p>
      <w:pPr>
        <w:pageBreakBefore w:val="0"/>
        <w:numPr>
          <w:ilvl w:val="0"/>
          <w:numId w:val="0"/>
        </w:numPr>
        <w:kinsoku/>
        <w:wordWrap/>
        <w:topLinePunct w:val="0"/>
        <w:bidi w:val="0"/>
        <w:adjustRightInd/>
        <w:snapToGrid/>
        <w:spacing w:line="52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以上举例不完全代表产品生产工艺，注册申请人应根据产品实际生产情况整理产品工艺流程图。</w:t>
      </w:r>
    </w:p>
    <w:p>
      <w:pPr>
        <w:pStyle w:val="3"/>
        <w:pageBreakBefore w:val="0"/>
        <w:kinsoku/>
        <w:wordWrap/>
        <w:topLinePunct w:val="0"/>
        <w:bidi w:val="0"/>
        <w:adjustRightInd/>
        <w:snapToGrid/>
        <w:spacing w:line="520" w:lineRule="exact"/>
        <w:ind w:firstLine="320" w:firstLineChars="100"/>
        <w:textAlignment w:val="auto"/>
        <w:rPr>
          <w:rFonts w:hint="eastAsia"/>
          <w:lang w:eastAsia="zh-CN"/>
        </w:rPr>
      </w:pPr>
      <w:r>
        <w:rPr>
          <w:rFonts w:hint="eastAsia" w:ascii="Times New Roman" w:hAnsi="Times New Roman" w:eastAsia="楷体_GB2312" w:cs="Times New Roman"/>
          <w:kern w:val="0"/>
          <w:sz w:val="32"/>
          <w:szCs w:val="32"/>
          <w:lang w:val="en-US" w:eastAsia="zh-CN" w:bidi="ar"/>
        </w:rPr>
        <w:t>2.研制、生产场地情况概述</w:t>
      </w:r>
    </w:p>
    <w:p>
      <w:pPr>
        <w:pageBreakBefore w:val="0"/>
        <w:numPr>
          <w:ilvl w:val="0"/>
          <w:numId w:val="0"/>
        </w:numPr>
        <w:kinsoku/>
        <w:wordWrap/>
        <w:topLinePunct w:val="0"/>
        <w:bidi w:val="0"/>
        <w:adjustRightInd/>
        <w:snapToGrid/>
        <w:spacing w:line="52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申请人应当对与申报产品有关的研制场地和生产场地情况进行概述，可参考下列内容：</w:t>
      </w:r>
    </w:p>
    <w:p>
      <w:pPr>
        <w:pageBreakBefore w:val="0"/>
        <w:numPr>
          <w:ilvl w:val="0"/>
          <w:numId w:val="0"/>
        </w:numPr>
        <w:kinsoku/>
        <w:wordWrap/>
        <w:topLinePunct w:val="0"/>
        <w:bidi w:val="0"/>
        <w:adjustRightInd/>
        <w:snapToGrid/>
        <w:spacing w:line="52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研制场地：</w:t>
      </w:r>
      <w:r>
        <w:rPr>
          <w:rFonts w:hint="eastAsia" w:ascii="仿宋" w:hAnsi="仿宋" w:eastAsia="仿宋" w:cs="仿宋"/>
          <w:color w:val="000000"/>
          <w:sz w:val="32"/>
          <w:szCs w:val="32"/>
        </w:rPr>
        <w:t>地址、位置、面积、研制环境条件（如适用）、研制设备、检验设备、人员等。</w:t>
      </w:r>
    </w:p>
    <w:p>
      <w:pPr>
        <w:pageBreakBefore w:val="0"/>
        <w:numPr>
          <w:ilvl w:val="0"/>
          <w:numId w:val="0"/>
        </w:numPr>
        <w:kinsoku/>
        <w:wordWrap/>
        <w:topLinePunct w:val="0"/>
        <w:bidi w:val="0"/>
        <w:adjustRightInd/>
        <w:snapToGrid/>
        <w:spacing w:line="52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生产场地：地址、位置、面积、生产环境条件（如适用）、主要生产设备、工艺装备、检验设备、人员、生产厂区平面图、生产车间平面图等；</w:t>
      </w:r>
    </w:p>
    <w:p>
      <w:pPr>
        <w:pageBreakBefore w:val="0"/>
        <w:numPr>
          <w:ilvl w:val="0"/>
          <w:numId w:val="0"/>
        </w:numPr>
        <w:kinsoku/>
        <w:wordWrap/>
        <w:topLinePunct w:val="0"/>
        <w:bidi w:val="0"/>
        <w:adjustRightInd/>
        <w:snapToGrid/>
        <w:spacing w:line="520" w:lineRule="exact"/>
        <w:ind w:firstLine="640" w:firstLineChars="200"/>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如申报产品具</w:t>
      </w:r>
      <w:r>
        <w:rPr>
          <w:rFonts w:hint="eastAsia" w:ascii="仿宋" w:hAnsi="仿宋" w:eastAsia="仿宋" w:cs="仿宋"/>
          <w:color w:val="000000"/>
          <w:sz w:val="32"/>
          <w:szCs w:val="32"/>
        </w:rPr>
        <w:t>有多个研制、生产场地，</w:t>
      </w:r>
      <w:r>
        <w:rPr>
          <w:rFonts w:hint="eastAsia" w:ascii="仿宋" w:hAnsi="仿宋" w:eastAsia="仿宋" w:cs="仿宋"/>
          <w:color w:val="000000"/>
          <w:sz w:val="32"/>
          <w:szCs w:val="32"/>
          <w:lang w:eastAsia="zh-CN"/>
        </w:rPr>
        <w:t>则</w:t>
      </w:r>
      <w:r>
        <w:rPr>
          <w:rFonts w:hint="eastAsia" w:ascii="仿宋" w:hAnsi="仿宋" w:eastAsia="仿宋" w:cs="仿宋"/>
          <w:color w:val="000000"/>
          <w:sz w:val="32"/>
          <w:szCs w:val="32"/>
        </w:rPr>
        <w:t>应</w:t>
      </w:r>
      <w:r>
        <w:rPr>
          <w:rFonts w:hint="eastAsia" w:ascii="仿宋" w:hAnsi="仿宋" w:eastAsia="仿宋" w:cs="仿宋"/>
          <w:color w:val="000000"/>
          <w:sz w:val="32"/>
          <w:szCs w:val="32"/>
          <w:lang w:eastAsia="zh-CN"/>
        </w:rPr>
        <w:t>对</w:t>
      </w:r>
      <w:r>
        <w:rPr>
          <w:rFonts w:hint="eastAsia" w:ascii="仿宋" w:hAnsi="仿宋" w:eastAsia="仿宋" w:cs="仿宋"/>
          <w:color w:val="000000"/>
          <w:sz w:val="32"/>
          <w:szCs w:val="32"/>
        </w:rPr>
        <w:t>每个研制、生产场地的实际情况</w:t>
      </w:r>
      <w:r>
        <w:rPr>
          <w:rFonts w:hint="eastAsia" w:ascii="仿宋" w:hAnsi="仿宋" w:eastAsia="仿宋" w:cs="仿宋"/>
          <w:color w:val="000000"/>
          <w:sz w:val="32"/>
          <w:szCs w:val="32"/>
          <w:lang w:eastAsia="zh-CN"/>
        </w:rPr>
        <w:t>进行概述。</w:t>
      </w:r>
    </w:p>
    <w:p>
      <w:pPr>
        <w:keepNext w:val="0"/>
        <w:keepLines w:val="0"/>
        <w:pageBreakBefore w:val="0"/>
        <w:kinsoku/>
        <w:wordWrap/>
        <w:topLinePunct w:val="0"/>
        <w:bidi w:val="0"/>
        <w:adjustRightInd/>
        <w:snapToGrid/>
        <w:spacing w:line="520" w:lineRule="exact"/>
        <w:ind w:firstLine="640" w:firstLineChars="200"/>
        <w:textAlignment w:val="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三、审查关注点</w:t>
      </w:r>
    </w:p>
    <w:p>
      <w:pPr>
        <w:keepNext w:val="0"/>
        <w:keepLines w:val="0"/>
        <w:pageBreakBefore w:val="0"/>
        <w:kinsoku/>
        <w:wordWrap/>
        <w:topLinePunct w:val="0"/>
        <w:bidi w:val="0"/>
        <w:adjustRightInd/>
        <w:snapToGrid/>
        <w:spacing w:line="520" w:lineRule="exact"/>
        <w:ind w:right="-67" w:rightChars="-32" w:firstLine="640" w:firstLineChars="200"/>
        <w:textAlignment w:val="auto"/>
        <w:rPr>
          <w:rFonts w:hint="default" w:ascii="Times New Roman" w:hAnsi="Times New Roman" w:eastAsia="楷体_GB2312" w:cs="Times New Roman"/>
          <w:color w:val="000000"/>
          <w:sz w:val="32"/>
          <w:szCs w:val="32"/>
        </w:rPr>
      </w:pPr>
      <w:r>
        <w:rPr>
          <w:rFonts w:hint="default" w:ascii="Times New Roman" w:hAnsi="Times New Roman" w:eastAsia="楷体_GB2312" w:cs="Times New Roman"/>
          <w:color w:val="000000"/>
          <w:sz w:val="32"/>
          <w:szCs w:val="32"/>
        </w:rPr>
        <w:t>（一）产品技术要求</w:t>
      </w:r>
    </w:p>
    <w:p>
      <w:pPr>
        <w:keepNext w:val="0"/>
        <w:keepLines w:val="0"/>
        <w:pageBreakBefore w:val="0"/>
        <w:kinsoku/>
        <w:wordWrap/>
        <w:topLinePunct w:val="0"/>
        <w:bidi w:val="0"/>
        <w:adjustRightInd/>
        <w:snapToGrid/>
        <w:spacing w:line="520" w:lineRule="exact"/>
        <w:textAlignment w:val="auto"/>
        <w:rPr>
          <w:rFonts w:hint="default" w:ascii="Times New Roman" w:hAnsi="Times New Roman" w:eastAsia="仿宋_GB2312" w:cs="Times New Roman"/>
          <w:color w:val="000000"/>
          <w:sz w:val="32"/>
          <w:szCs w:val="32"/>
        </w:rPr>
      </w:pPr>
      <w:r>
        <w:rPr>
          <w:rFonts w:hint="default" w:ascii="Times New Roman" w:hAnsi="Times New Roman" w:eastAsia="仿宋" w:cs="Times New Roman"/>
          <w:color w:val="000000"/>
          <w:sz w:val="32"/>
          <w:szCs w:val="32"/>
        </w:rPr>
        <w:t xml:space="preserve">    </w:t>
      </w:r>
      <w:r>
        <w:rPr>
          <w:rFonts w:hint="default" w:ascii="Times New Roman" w:hAnsi="Times New Roman" w:eastAsia="仿宋_GB2312" w:cs="Times New Roman"/>
          <w:color w:val="000000"/>
          <w:sz w:val="32"/>
          <w:szCs w:val="32"/>
        </w:rPr>
        <w:t>应关注</w:t>
      </w:r>
      <w:r>
        <w:rPr>
          <w:rFonts w:hint="eastAsia" w:eastAsia="仿宋_GB2312" w:cs="Times New Roman"/>
          <w:color w:val="000000"/>
          <w:sz w:val="32"/>
          <w:szCs w:val="32"/>
          <w:lang w:eastAsia="zh-CN"/>
        </w:rPr>
        <w:t>一次性使用手术帽</w:t>
      </w:r>
      <w:r>
        <w:rPr>
          <w:rFonts w:hint="default" w:ascii="Times New Roman" w:hAnsi="Times New Roman" w:eastAsia="仿宋_GB2312" w:cs="Times New Roman"/>
          <w:color w:val="000000"/>
          <w:sz w:val="32"/>
          <w:szCs w:val="32"/>
        </w:rPr>
        <w:t>产品技术要求编写的规范性，引用标准的适用性、准确性；应关注申请人是否根据宣称的特殊性能、技术特点制定相关的性能指标要求。</w:t>
      </w:r>
    </w:p>
    <w:p>
      <w:pPr>
        <w:keepNext w:val="0"/>
        <w:keepLines w:val="0"/>
        <w:pageBreakBefore w:val="0"/>
        <w:kinsoku/>
        <w:wordWrap/>
        <w:topLinePunct w:val="0"/>
        <w:bidi w:val="0"/>
        <w:adjustRightInd/>
        <w:snapToGrid/>
        <w:spacing w:line="520" w:lineRule="exact"/>
        <w:ind w:right="-67" w:rightChars="-32" w:firstLine="640" w:firstLineChars="200"/>
        <w:textAlignment w:val="auto"/>
        <w:rPr>
          <w:rFonts w:hint="default" w:ascii="Times New Roman" w:hAnsi="Times New Roman" w:eastAsia="楷体_GB2312" w:cs="Times New Roman"/>
          <w:color w:val="000000"/>
          <w:sz w:val="32"/>
          <w:szCs w:val="32"/>
        </w:rPr>
      </w:pPr>
      <w:r>
        <w:rPr>
          <w:rFonts w:hint="default" w:ascii="Times New Roman" w:hAnsi="Times New Roman" w:eastAsia="楷体_GB2312" w:cs="Times New Roman"/>
          <w:color w:val="000000"/>
          <w:sz w:val="32"/>
          <w:szCs w:val="32"/>
        </w:rPr>
        <w:t>（二）产品说明书要求</w:t>
      </w:r>
    </w:p>
    <w:p>
      <w:pPr>
        <w:keepNext w:val="0"/>
        <w:keepLines w:val="0"/>
        <w:pageBreakBefore w:val="0"/>
        <w:kinsoku/>
        <w:wordWrap/>
        <w:topLinePunct w:val="0"/>
        <w:bidi w:val="0"/>
        <w:adjustRightInd/>
        <w:snapToGrid/>
        <w:spacing w:line="52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应关注说明书是否有未经验证的夸大宣传的相关描述。</w:t>
      </w:r>
    </w:p>
    <w:p>
      <w:pPr>
        <w:keepNext w:val="0"/>
        <w:keepLines w:val="0"/>
        <w:pageBreakBefore w:val="0"/>
        <w:kinsoku/>
        <w:wordWrap/>
        <w:topLinePunct w:val="0"/>
        <w:bidi w:val="0"/>
        <w:adjustRightInd/>
        <w:snapToGrid/>
        <w:spacing w:line="520" w:lineRule="exact"/>
        <w:ind w:right="-67" w:rightChars="-32" w:firstLine="640" w:firstLineChars="200"/>
        <w:textAlignment w:val="auto"/>
        <w:rPr>
          <w:rFonts w:hint="default" w:ascii="Times New Roman" w:hAnsi="Times New Roman" w:eastAsia="楷体_GB2312" w:cs="Times New Roman"/>
          <w:color w:val="000000"/>
          <w:sz w:val="32"/>
          <w:szCs w:val="32"/>
        </w:rPr>
      </w:pPr>
      <w:r>
        <w:rPr>
          <w:rFonts w:hint="default" w:ascii="Times New Roman" w:hAnsi="Times New Roman" w:eastAsia="楷体_GB2312" w:cs="Times New Roman"/>
          <w:color w:val="000000"/>
          <w:sz w:val="32"/>
          <w:szCs w:val="32"/>
        </w:rPr>
        <w:t>（三）产品风险分析资料</w:t>
      </w:r>
    </w:p>
    <w:p>
      <w:pPr>
        <w:keepNext w:val="0"/>
        <w:keepLines w:val="0"/>
        <w:pageBreakBefore w:val="0"/>
        <w:kinsoku/>
        <w:wordWrap/>
        <w:topLinePunct w:val="0"/>
        <w:bidi w:val="0"/>
        <w:adjustRightInd/>
        <w:snapToGrid/>
        <w:spacing w:line="52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应关注产品的主要风险是否已经列举，并通过风险控制措施使产品的安全性在合理可接受的程度之内。</w:t>
      </w:r>
    </w:p>
    <w:p>
      <w:pPr>
        <w:keepNext w:val="0"/>
        <w:keepLines w:val="0"/>
        <w:pageBreakBefore w:val="0"/>
        <w:kinsoku/>
        <w:wordWrap/>
        <w:topLinePunct w:val="0"/>
        <w:bidi w:val="0"/>
        <w:adjustRightInd/>
        <w:snapToGrid/>
        <w:spacing w:line="520" w:lineRule="exact"/>
        <w:ind w:right="-67" w:rightChars="-32" w:firstLine="640" w:firstLineChars="200"/>
        <w:textAlignment w:val="auto"/>
        <w:rPr>
          <w:rFonts w:hint="default" w:ascii="Times New Roman" w:hAnsi="Times New Roman" w:eastAsia="楷体_GB2312" w:cs="Times New Roman"/>
          <w:color w:val="000000"/>
          <w:sz w:val="32"/>
          <w:szCs w:val="32"/>
        </w:rPr>
      </w:pPr>
      <w:r>
        <w:rPr>
          <w:rFonts w:hint="default" w:ascii="Times New Roman" w:hAnsi="Times New Roman" w:eastAsia="楷体_GB2312" w:cs="Times New Roman"/>
          <w:color w:val="000000"/>
          <w:sz w:val="32"/>
          <w:szCs w:val="32"/>
        </w:rPr>
        <w:t>（四）检测的典型产品</w:t>
      </w:r>
    </w:p>
    <w:p>
      <w:pPr>
        <w:keepNext w:val="0"/>
        <w:keepLines w:val="0"/>
        <w:pageBreakBefore w:val="0"/>
        <w:kinsoku/>
        <w:wordWrap/>
        <w:topLinePunct w:val="0"/>
        <w:bidi w:val="0"/>
        <w:adjustRightInd/>
        <w:snapToGrid/>
        <w:spacing w:line="520" w:lineRule="exact"/>
        <w:ind w:firstLine="640" w:firstLineChars="200"/>
        <w:textAlignment w:val="auto"/>
        <w:rPr>
          <w:rFonts w:hint="default" w:ascii="Times New Roman" w:hAnsi="Times New Roman" w:eastAsia="仿宋_GB2312" w:cs="Times New Roman"/>
          <w:color w:val="000000"/>
          <w:sz w:val="32"/>
          <w:szCs w:val="32"/>
        </w:rPr>
        <w:sectPr>
          <w:footerReference r:id="rId4" w:type="first"/>
          <w:footerReference r:id="rId3" w:type="default"/>
          <w:pgSz w:w="11906" w:h="16838"/>
          <w:pgMar w:top="2098" w:right="1474" w:bottom="1984" w:left="1587" w:header="851" w:footer="992" w:gutter="0"/>
          <w:pgNumType w:fmt="numberInDash"/>
          <w:cols w:space="720" w:num="1"/>
          <w:titlePg/>
          <w:docGrid w:type="lines" w:linePitch="312" w:charSpace="0"/>
        </w:sectPr>
      </w:pPr>
      <w:r>
        <w:rPr>
          <w:rFonts w:hint="default" w:ascii="Times New Roman" w:hAnsi="Times New Roman" w:eastAsia="仿宋_GB2312" w:cs="Times New Roman"/>
          <w:color w:val="000000"/>
          <w:sz w:val="32"/>
          <w:szCs w:val="32"/>
        </w:rPr>
        <w:t>应关注检测产品是否能够代表本注册单元内其他产品安全性和有</w:t>
      </w:r>
    </w:p>
    <w:bookmarkEnd w:id="0"/>
    <w:p>
      <w:pPr>
        <w:overflowPunct w:val="0"/>
        <w:autoSpaceDE w:val="0"/>
        <w:autoSpaceDN w:val="0"/>
        <w:spacing w:line="560" w:lineRule="exact"/>
        <w:outlineLvl w:val="0"/>
        <w:rPr>
          <w:rFonts w:hint="eastAsia" w:ascii="黑体" w:hAnsi="黑体" w:eastAsia="黑体" w:cs="黑体"/>
          <w:snapToGrid w:val="0"/>
          <w:kern w:val="0"/>
          <w:sz w:val="32"/>
          <w:szCs w:val="32"/>
          <w:lang w:val="en-US" w:eastAsia="zh-CN"/>
        </w:rPr>
      </w:pPr>
      <w:bookmarkStart w:id="4" w:name="_Hlk6949826"/>
      <w:r>
        <w:rPr>
          <w:rFonts w:hint="eastAsia" w:ascii="黑体" w:hAnsi="黑体" w:eastAsia="黑体" w:cs="黑体"/>
          <w:snapToGrid w:val="0"/>
          <w:kern w:val="0"/>
          <w:sz w:val="32"/>
          <w:szCs w:val="32"/>
        </w:rPr>
        <w:t>附</w:t>
      </w:r>
      <w:r>
        <w:rPr>
          <w:rFonts w:hint="eastAsia" w:ascii="黑体" w:hAnsi="黑体" w:eastAsia="黑体" w:cs="黑体"/>
          <w:snapToGrid w:val="0"/>
          <w:kern w:val="0"/>
          <w:sz w:val="32"/>
          <w:szCs w:val="32"/>
          <w:lang w:eastAsia="zh-CN"/>
        </w:rPr>
        <w:t>录</w:t>
      </w:r>
      <w:r>
        <w:rPr>
          <w:rFonts w:hint="eastAsia" w:ascii="黑体" w:hAnsi="黑体" w:eastAsia="黑体" w:cs="黑体"/>
          <w:snapToGrid w:val="0"/>
          <w:kern w:val="0"/>
          <w:sz w:val="32"/>
          <w:szCs w:val="32"/>
          <w:lang w:val="en-US" w:eastAsia="zh-CN"/>
        </w:rPr>
        <w:t>A</w:t>
      </w:r>
    </w:p>
    <w:p>
      <w:pPr>
        <w:overflowPunct w:val="0"/>
        <w:autoSpaceDE w:val="0"/>
        <w:autoSpaceDN w:val="0"/>
        <w:spacing w:line="560" w:lineRule="exact"/>
        <w:outlineLvl w:val="0"/>
        <w:rPr>
          <w:rFonts w:eastAsia="方正小标宋简体"/>
          <w:snapToGrid w:val="0"/>
          <w:kern w:val="0"/>
          <w:sz w:val="44"/>
          <w:szCs w:val="44"/>
          <w:lang w:val="zh-CN"/>
        </w:rPr>
      </w:pPr>
    </w:p>
    <w:p>
      <w:pPr>
        <w:overflowPunct w:val="0"/>
        <w:autoSpaceDE w:val="0"/>
        <w:autoSpaceDN w:val="0"/>
        <w:spacing w:line="560" w:lineRule="exact"/>
        <w:jc w:val="center"/>
        <w:outlineLvl w:val="0"/>
        <w:rPr>
          <w:rFonts w:eastAsia="方正小标宋简体"/>
          <w:snapToGrid w:val="0"/>
          <w:kern w:val="0"/>
          <w:sz w:val="44"/>
          <w:szCs w:val="44"/>
          <w:lang w:val="zh-CN"/>
        </w:rPr>
      </w:pPr>
      <w:r>
        <w:rPr>
          <w:rFonts w:eastAsia="方正小标宋简体"/>
          <w:snapToGrid w:val="0"/>
          <w:kern w:val="0"/>
          <w:sz w:val="44"/>
          <w:szCs w:val="44"/>
          <w:lang w:val="zh-CN"/>
        </w:rPr>
        <w:t>风险管理文档</w:t>
      </w:r>
      <w:bookmarkEnd w:id="4"/>
    </w:p>
    <w:p>
      <w:pPr>
        <w:overflowPunct w:val="0"/>
        <w:autoSpaceDE w:val="0"/>
        <w:autoSpaceDN w:val="0"/>
        <w:spacing w:line="560" w:lineRule="exact"/>
        <w:ind w:firstLine="880" w:firstLineChars="200"/>
        <w:jc w:val="center"/>
        <w:outlineLvl w:val="0"/>
        <w:rPr>
          <w:rFonts w:eastAsia="方正小标宋简体"/>
          <w:snapToGrid w:val="0"/>
          <w:kern w:val="0"/>
          <w:sz w:val="44"/>
          <w:szCs w:val="44"/>
          <w:lang w:val="zh-CN"/>
        </w:rPr>
      </w:pPr>
    </w:p>
    <w:p>
      <w:pPr>
        <w:pStyle w:val="30"/>
        <w:keepNext w:val="0"/>
        <w:keepLines w:val="0"/>
        <w:pageBreakBefore w:val="0"/>
        <w:numPr>
          <w:ilvl w:val="0"/>
          <w:numId w:val="3"/>
        </w:numPr>
        <w:kinsoku/>
        <w:wordWrap/>
        <w:overflowPunct w:val="0"/>
        <w:topLinePunct w:val="0"/>
        <w:autoSpaceDE w:val="0"/>
        <w:autoSpaceDN w:val="0"/>
        <w:bidi w:val="0"/>
        <w:snapToGrid/>
        <w:spacing w:line="520" w:lineRule="exact"/>
        <w:ind w:left="0" w:firstLine="640"/>
        <w:textAlignment w:val="auto"/>
        <w:outlineLvl w:val="1"/>
        <w:rPr>
          <w:rFonts w:ascii="Times New Roman" w:hAnsi="Times New Roman" w:eastAsia="黑体"/>
          <w:snapToGrid w:val="0"/>
          <w:kern w:val="0"/>
          <w:sz w:val="32"/>
          <w:szCs w:val="32"/>
          <w:lang w:val="zh-CN"/>
        </w:rPr>
      </w:pPr>
      <w:r>
        <w:rPr>
          <w:rFonts w:ascii="Times New Roman" w:hAnsi="Times New Roman" w:eastAsia="黑体"/>
          <w:snapToGrid w:val="0"/>
          <w:kern w:val="0"/>
          <w:sz w:val="32"/>
          <w:szCs w:val="32"/>
        </w:rPr>
        <w:t>申报产品的风险管理组织</w:t>
      </w:r>
    </w:p>
    <w:p>
      <w:pPr>
        <w:keepNext w:val="0"/>
        <w:keepLines w:val="0"/>
        <w:pageBreakBefore w:val="0"/>
        <w:kinsoku/>
        <w:wordWrap/>
        <w:overflowPunct w:val="0"/>
        <w:topLinePunct w:val="0"/>
        <w:autoSpaceDE w:val="0"/>
        <w:autoSpaceDN w:val="0"/>
        <w:bidi w:val="0"/>
        <w:snapToGrid/>
        <w:spacing w:line="520" w:lineRule="exact"/>
        <w:ind w:firstLine="640" w:firstLineChars="200"/>
        <w:textAlignment w:val="auto"/>
        <w:rPr>
          <w:rFonts w:eastAsia="仿宋_GB2312"/>
          <w:snapToGrid w:val="0"/>
          <w:kern w:val="0"/>
          <w:sz w:val="32"/>
          <w:szCs w:val="32"/>
        </w:rPr>
      </w:pPr>
      <w:r>
        <w:rPr>
          <w:rFonts w:eastAsia="仿宋_GB2312"/>
          <w:snapToGrid w:val="0"/>
          <w:kern w:val="0"/>
          <w:sz w:val="32"/>
          <w:szCs w:val="32"/>
        </w:rPr>
        <w:t>由申请人成立申报产品的风险管理小组。列出组长、组员姓名、职务及责任范围。管理组成员应具有与管理任务相适应的知识和经验。</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kern w:val="0"/>
          <w:sz w:val="32"/>
          <w:szCs w:val="32"/>
        </w:rPr>
      </w:pPr>
      <w:r>
        <w:rPr>
          <w:rFonts w:eastAsia="仿宋_GB2312"/>
          <w:snapToGrid w:val="0"/>
          <w:kern w:val="0"/>
          <w:sz w:val="32"/>
          <w:szCs w:val="32"/>
        </w:rPr>
        <w:t>风险管理小组负责风险分析、风险评估、风险管理报告的编写，接受有关方面的查询并对报告的内容负责。</w:t>
      </w:r>
    </w:p>
    <w:p>
      <w:pPr>
        <w:pStyle w:val="30"/>
        <w:keepNext w:val="0"/>
        <w:keepLines w:val="0"/>
        <w:pageBreakBefore w:val="0"/>
        <w:numPr>
          <w:ilvl w:val="0"/>
          <w:numId w:val="3"/>
        </w:numPr>
        <w:kinsoku/>
        <w:wordWrap/>
        <w:overflowPunct w:val="0"/>
        <w:topLinePunct w:val="0"/>
        <w:autoSpaceDE w:val="0"/>
        <w:autoSpaceDN w:val="0"/>
        <w:bidi w:val="0"/>
        <w:snapToGrid/>
        <w:spacing w:line="520" w:lineRule="exact"/>
        <w:ind w:left="0" w:firstLine="640"/>
        <w:textAlignment w:val="auto"/>
        <w:outlineLvl w:val="1"/>
        <w:rPr>
          <w:rFonts w:ascii="Times New Roman" w:hAnsi="Times New Roman" w:eastAsia="黑体"/>
          <w:snapToGrid w:val="0"/>
          <w:kern w:val="0"/>
          <w:sz w:val="32"/>
          <w:szCs w:val="32"/>
          <w:lang w:val="zh-CN"/>
        </w:rPr>
      </w:pPr>
      <w:r>
        <w:rPr>
          <w:rFonts w:ascii="Times New Roman" w:hAnsi="Times New Roman" w:eastAsia="黑体"/>
          <w:snapToGrid w:val="0"/>
          <w:kern w:val="0"/>
          <w:sz w:val="32"/>
          <w:szCs w:val="32"/>
          <w:lang w:val="zh-CN"/>
        </w:rPr>
        <w:t>申报</w:t>
      </w:r>
      <w:r>
        <w:rPr>
          <w:rFonts w:ascii="Times New Roman" w:hAnsi="Times New Roman" w:eastAsia="黑体"/>
          <w:snapToGrid w:val="0"/>
          <w:kern w:val="0"/>
          <w:sz w:val="32"/>
          <w:szCs w:val="32"/>
        </w:rPr>
        <w:t>产品</w:t>
      </w:r>
      <w:r>
        <w:rPr>
          <w:rFonts w:ascii="Times New Roman" w:hAnsi="Times New Roman" w:eastAsia="黑体"/>
          <w:snapToGrid w:val="0"/>
          <w:kern w:val="0"/>
          <w:sz w:val="32"/>
          <w:szCs w:val="32"/>
          <w:lang w:val="zh-CN"/>
        </w:rPr>
        <w:t>组成</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kern w:val="0"/>
          <w:sz w:val="32"/>
          <w:szCs w:val="32"/>
          <w:lang w:val="zh-CN"/>
        </w:rPr>
      </w:pPr>
      <w:r>
        <w:rPr>
          <w:rFonts w:eastAsia="仿宋_GB2312"/>
          <w:snapToGrid w:val="0"/>
          <w:kern w:val="0"/>
          <w:sz w:val="32"/>
          <w:szCs w:val="32"/>
          <w:lang w:val="zh-CN"/>
        </w:rPr>
        <w:t>明确申报产品的具体组成。</w:t>
      </w:r>
    </w:p>
    <w:p>
      <w:pPr>
        <w:pStyle w:val="30"/>
        <w:keepNext w:val="0"/>
        <w:keepLines w:val="0"/>
        <w:pageBreakBefore w:val="0"/>
        <w:numPr>
          <w:ilvl w:val="0"/>
          <w:numId w:val="3"/>
        </w:numPr>
        <w:kinsoku/>
        <w:wordWrap/>
        <w:overflowPunct w:val="0"/>
        <w:topLinePunct w:val="0"/>
        <w:autoSpaceDE w:val="0"/>
        <w:autoSpaceDN w:val="0"/>
        <w:bidi w:val="0"/>
        <w:snapToGrid/>
        <w:spacing w:line="520" w:lineRule="exact"/>
        <w:ind w:left="0" w:firstLine="640"/>
        <w:textAlignment w:val="auto"/>
        <w:outlineLvl w:val="1"/>
        <w:rPr>
          <w:rFonts w:ascii="Times New Roman" w:hAnsi="Times New Roman" w:eastAsia="黑体"/>
          <w:snapToGrid w:val="0"/>
          <w:color w:val="000000"/>
          <w:kern w:val="0"/>
          <w:sz w:val="32"/>
          <w:szCs w:val="32"/>
          <w:lang w:val="zh-CN"/>
        </w:rPr>
      </w:pPr>
      <w:r>
        <w:rPr>
          <w:rFonts w:ascii="Times New Roman" w:hAnsi="Times New Roman" w:eastAsia="黑体"/>
          <w:snapToGrid w:val="0"/>
          <w:kern w:val="0"/>
          <w:sz w:val="32"/>
          <w:szCs w:val="32"/>
        </w:rPr>
        <w:t>产品</w:t>
      </w:r>
      <w:r>
        <w:rPr>
          <w:rFonts w:ascii="Times New Roman" w:hAnsi="Times New Roman" w:eastAsia="黑体"/>
          <w:snapToGrid w:val="0"/>
          <w:color w:val="000000"/>
          <w:kern w:val="0"/>
          <w:sz w:val="32"/>
          <w:szCs w:val="32"/>
          <w:lang w:val="zh-CN"/>
        </w:rPr>
        <w:t>预期用途和与安全性有关特征的判定</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r>
        <w:rPr>
          <w:rFonts w:eastAsia="仿宋_GB2312"/>
          <w:snapToGrid w:val="0"/>
          <w:color w:val="000000"/>
          <w:kern w:val="0"/>
          <w:sz w:val="32"/>
          <w:szCs w:val="32"/>
          <w:lang w:val="zh-CN"/>
        </w:rPr>
        <w:t>申请人应按“</w:t>
      </w:r>
      <w:r>
        <w:rPr>
          <w:rFonts w:eastAsia="仿宋_GB2312"/>
          <w:snapToGrid w:val="0"/>
          <w:kern w:val="0"/>
          <w:sz w:val="32"/>
          <w:szCs w:val="32"/>
          <w:lang w:val="zh-CN"/>
        </w:rPr>
        <w:t>医疗</w:t>
      </w:r>
      <w:r>
        <w:rPr>
          <w:rFonts w:eastAsia="仿宋_GB2312"/>
          <w:snapToGrid w:val="0"/>
          <w:color w:val="000000"/>
          <w:kern w:val="0"/>
          <w:sz w:val="32"/>
          <w:szCs w:val="32"/>
          <w:lang w:val="zh-CN"/>
        </w:rPr>
        <w:t>器械风险管理标准”附录C的34条提示，对照申报产品的实际情况作针对性的简明描述，如：</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r>
        <w:rPr>
          <w:rFonts w:eastAsia="仿宋_GB2312"/>
          <w:snapToGrid w:val="0"/>
          <w:color w:val="000000"/>
          <w:kern w:val="0"/>
          <w:sz w:val="32"/>
          <w:szCs w:val="32"/>
          <w:lang w:val="zh-CN"/>
        </w:rPr>
        <w:t>对C.2.1：可说明申报产品的预期用途。</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r>
        <w:rPr>
          <w:rFonts w:eastAsia="仿宋_GB2312"/>
          <w:snapToGrid w:val="0"/>
          <w:color w:val="000000"/>
          <w:kern w:val="0"/>
          <w:sz w:val="32"/>
          <w:szCs w:val="32"/>
          <w:lang w:val="zh-CN"/>
        </w:rPr>
        <w:t>对C.2.3：是否与患者和其他人员接触？应说明申报产品与患者和操作人员接触的</w:t>
      </w:r>
      <w:r>
        <w:rPr>
          <w:rFonts w:hint="eastAsia" w:eastAsia="仿宋_GB2312"/>
          <w:snapToGrid w:val="0"/>
          <w:color w:val="000000"/>
          <w:kern w:val="0"/>
          <w:sz w:val="32"/>
          <w:szCs w:val="32"/>
          <w:lang w:val="zh-CN"/>
        </w:rPr>
        <w:t>部分</w:t>
      </w:r>
      <w:r>
        <w:rPr>
          <w:rFonts w:eastAsia="仿宋_GB2312"/>
          <w:snapToGrid w:val="0"/>
          <w:color w:val="000000"/>
          <w:kern w:val="0"/>
          <w:sz w:val="32"/>
          <w:szCs w:val="32"/>
          <w:lang w:val="zh-CN"/>
        </w:rPr>
        <w:t>，接触性质。</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r>
        <w:rPr>
          <w:rFonts w:eastAsia="仿宋_GB2312"/>
          <w:snapToGrid w:val="0"/>
          <w:color w:val="000000"/>
          <w:kern w:val="0"/>
          <w:sz w:val="32"/>
          <w:szCs w:val="32"/>
          <w:lang w:val="zh-CN"/>
        </w:rPr>
        <w:t>对C.2.4及以下30项提示，应根据申报产品的实际情况逐条回答。</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r>
        <w:rPr>
          <w:rFonts w:eastAsia="仿宋_GB2312"/>
          <w:snapToGrid w:val="0"/>
          <w:color w:val="000000"/>
          <w:kern w:val="0"/>
          <w:sz w:val="32"/>
          <w:szCs w:val="32"/>
          <w:lang w:val="zh-CN"/>
        </w:rPr>
        <w:t>申报产品如存在</w:t>
      </w:r>
      <w:r>
        <w:rPr>
          <w:rFonts w:eastAsia="仿宋_GB2312"/>
          <w:snapToGrid w:val="0"/>
          <w:kern w:val="0"/>
          <w:sz w:val="32"/>
          <w:szCs w:val="32"/>
          <w:lang w:val="zh-CN"/>
        </w:rPr>
        <w:t>34</w:t>
      </w:r>
      <w:r>
        <w:rPr>
          <w:rFonts w:eastAsia="仿宋_GB2312"/>
          <w:snapToGrid w:val="0"/>
          <w:color w:val="000000"/>
          <w:kern w:val="0"/>
          <w:sz w:val="32"/>
          <w:szCs w:val="32"/>
          <w:lang w:val="zh-CN"/>
        </w:rPr>
        <w:t>条提示以外的可能影响安全性的特征，也应做出说明。</w:t>
      </w:r>
    </w:p>
    <w:p>
      <w:pPr>
        <w:pStyle w:val="30"/>
        <w:keepNext w:val="0"/>
        <w:keepLines w:val="0"/>
        <w:pageBreakBefore w:val="0"/>
        <w:numPr>
          <w:ilvl w:val="0"/>
          <w:numId w:val="3"/>
        </w:numPr>
        <w:kinsoku/>
        <w:wordWrap/>
        <w:overflowPunct w:val="0"/>
        <w:topLinePunct w:val="0"/>
        <w:autoSpaceDE w:val="0"/>
        <w:autoSpaceDN w:val="0"/>
        <w:bidi w:val="0"/>
        <w:snapToGrid/>
        <w:spacing w:line="520" w:lineRule="exact"/>
        <w:ind w:left="0" w:firstLine="640"/>
        <w:textAlignment w:val="auto"/>
        <w:outlineLvl w:val="1"/>
        <w:rPr>
          <w:rFonts w:ascii="Times New Roman" w:hAnsi="Times New Roman" w:eastAsia="黑体"/>
          <w:snapToGrid w:val="0"/>
          <w:color w:val="000000"/>
          <w:kern w:val="0"/>
          <w:sz w:val="32"/>
          <w:szCs w:val="32"/>
          <w:lang w:val="zh-CN"/>
        </w:rPr>
      </w:pPr>
      <w:r>
        <w:rPr>
          <w:rFonts w:ascii="Times New Roman" w:hAnsi="Times New Roman" w:eastAsia="黑体"/>
          <w:snapToGrid w:val="0"/>
          <w:color w:val="000000"/>
          <w:kern w:val="0"/>
          <w:sz w:val="32"/>
          <w:szCs w:val="32"/>
          <w:lang w:val="zh-CN"/>
        </w:rPr>
        <w:t>对申报产品的可能危害作出判定</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r>
        <w:rPr>
          <w:rFonts w:eastAsia="仿宋_GB2312"/>
          <w:snapToGrid w:val="0"/>
          <w:color w:val="000000"/>
          <w:kern w:val="0"/>
          <w:sz w:val="32"/>
          <w:szCs w:val="32"/>
          <w:lang w:val="zh-CN"/>
        </w:rPr>
        <w:t>申请人应根据“</w:t>
      </w:r>
      <w:r>
        <w:rPr>
          <w:rFonts w:eastAsia="仿宋_GB2312"/>
          <w:snapToGrid w:val="0"/>
          <w:kern w:val="0"/>
          <w:sz w:val="32"/>
          <w:szCs w:val="32"/>
          <w:lang w:val="zh-CN"/>
        </w:rPr>
        <w:t>医疗</w:t>
      </w:r>
      <w:r>
        <w:rPr>
          <w:rFonts w:eastAsia="仿宋_GB2312"/>
          <w:snapToGrid w:val="0"/>
          <w:color w:val="000000"/>
          <w:kern w:val="0"/>
          <w:sz w:val="32"/>
          <w:szCs w:val="32"/>
          <w:lang w:val="zh-CN"/>
        </w:rPr>
        <w:t>器械风险管理标准”附录E的举例，对产品的可能危害进行判定并列出清单。</w:t>
      </w:r>
      <w:r>
        <w:rPr>
          <w:rFonts w:hint="eastAsia" w:eastAsia="仿宋_GB2312"/>
          <w:snapToGrid w:val="0"/>
          <w:kern w:val="0"/>
          <w:sz w:val="32"/>
          <w:szCs w:val="32"/>
          <w:lang w:eastAsia="zh-CN"/>
        </w:rPr>
        <w:t>表</w:t>
      </w:r>
      <w:r>
        <w:rPr>
          <w:rFonts w:hint="eastAsia" w:eastAsia="仿宋_GB2312"/>
          <w:snapToGrid w:val="0"/>
          <w:kern w:val="0"/>
          <w:sz w:val="32"/>
          <w:szCs w:val="32"/>
          <w:lang w:val="en-US" w:eastAsia="zh-CN"/>
        </w:rPr>
        <w:t>1</w:t>
      </w:r>
      <w:r>
        <w:rPr>
          <w:rFonts w:eastAsia="仿宋_GB2312"/>
          <w:snapToGrid w:val="0"/>
          <w:kern w:val="0"/>
          <w:sz w:val="32"/>
          <w:szCs w:val="32"/>
        </w:rPr>
        <w:t>为</w:t>
      </w:r>
      <w:r>
        <w:rPr>
          <w:rFonts w:hint="eastAsia" w:eastAsia="仿宋_GB2312"/>
          <w:snapToGrid w:val="0"/>
          <w:kern w:val="0"/>
          <w:sz w:val="32"/>
          <w:szCs w:val="32"/>
          <w:lang w:eastAsia="zh-CN"/>
        </w:rPr>
        <w:t>一次性使用手术帽</w:t>
      </w:r>
      <w:r>
        <w:rPr>
          <w:rFonts w:eastAsia="仿宋_GB2312"/>
          <w:snapToGrid w:val="0"/>
          <w:kern w:val="0"/>
          <w:sz w:val="32"/>
          <w:szCs w:val="32"/>
        </w:rPr>
        <w:t>常见危害示例，应关注：</w:t>
      </w:r>
    </w:p>
    <w:p>
      <w:pPr>
        <w:numPr>
          <w:ilvl w:val="0"/>
          <w:numId w:val="0"/>
        </w:numPr>
        <w:spacing w:line="560" w:lineRule="exact"/>
        <w:jc w:val="center"/>
        <w:rPr>
          <w:rStyle w:val="39"/>
          <w:rFonts w:hint="eastAsia" w:eastAsia="黑体"/>
          <w:sz w:val="28"/>
          <w:szCs w:val="28"/>
        </w:rPr>
      </w:pPr>
      <w:bookmarkStart w:id="5" w:name="_Toc430317319"/>
      <w:r>
        <w:rPr>
          <w:rStyle w:val="39"/>
          <w:rFonts w:eastAsia="黑体"/>
          <w:sz w:val="28"/>
          <w:szCs w:val="28"/>
        </w:rPr>
        <w:t>表</w:t>
      </w:r>
      <w:r>
        <w:rPr>
          <w:rStyle w:val="39"/>
          <w:rFonts w:hint="eastAsia" w:eastAsia="黑体"/>
          <w:sz w:val="28"/>
          <w:szCs w:val="28"/>
          <w:lang w:val="en-US" w:eastAsia="zh-CN"/>
        </w:rPr>
        <w:t>1</w:t>
      </w:r>
      <w:r>
        <w:rPr>
          <w:rStyle w:val="39"/>
          <w:rFonts w:eastAsia="黑体"/>
          <w:sz w:val="28"/>
          <w:szCs w:val="28"/>
        </w:rPr>
        <w:t xml:space="preserve"> 产品主要</w:t>
      </w:r>
      <w:r>
        <w:rPr>
          <w:rStyle w:val="39"/>
          <w:rFonts w:hint="eastAsia" w:eastAsia="黑体"/>
          <w:sz w:val="28"/>
          <w:szCs w:val="28"/>
        </w:rPr>
        <w:t>危险（源）</w:t>
      </w:r>
    </w:p>
    <w:tbl>
      <w:tblPr>
        <w:tblStyle w:val="17"/>
        <w:tblW w:w="9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0"/>
        <w:gridCol w:w="4280"/>
        <w:gridCol w:w="1826"/>
        <w:gridCol w:w="1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3" w:hRule="atLeast"/>
          <w:tblHeader/>
          <w:jc w:val="center"/>
        </w:trPr>
        <w:tc>
          <w:tcPr>
            <w:tcW w:w="1520" w:type="dxa"/>
            <w:noWrap w:val="0"/>
            <w:vAlign w:val="center"/>
          </w:tcPr>
          <w:p>
            <w:pPr>
              <w:spacing w:line="380" w:lineRule="exact"/>
              <w:jc w:val="center"/>
              <w:rPr>
                <w:rFonts w:hint="eastAsia" w:ascii="仿宋" w:hAnsi="仿宋" w:eastAsia="仿宋" w:cs="仿宋"/>
                <w:sz w:val="24"/>
                <w:szCs w:val="24"/>
              </w:rPr>
            </w:pPr>
            <w:r>
              <w:rPr>
                <w:rFonts w:hint="eastAsia" w:ascii="仿宋" w:hAnsi="仿宋" w:eastAsia="仿宋" w:cs="仿宋"/>
                <w:sz w:val="24"/>
                <w:szCs w:val="24"/>
              </w:rPr>
              <w:t>危险（源）</w:t>
            </w:r>
          </w:p>
        </w:tc>
        <w:tc>
          <w:tcPr>
            <w:tcW w:w="4280"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可预见的事件序列</w:t>
            </w:r>
          </w:p>
        </w:tc>
        <w:tc>
          <w:tcPr>
            <w:tcW w:w="1826"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危险情况</w:t>
            </w:r>
          </w:p>
        </w:tc>
        <w:tc>
          <w:tcPr>
            <w:tcW w:w="1592"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可能发生的伤害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1520" w:type="dxa"/>
            <w:noWrap w:val="0"/>
            <w:vAlign w:val="center"/>
          </w:tcPr>
          <w:p>
            <w:pPr>
              <w:spacing w:line="380" w:lineRule="exact"/>
              <w:jc w:val="center"/>
              <w:rPr>
                <w:rFonts w:hint="eastAsia" w:ascii="仿宋" w:hAnsi="仿宋" w:eastAsia="仿宋" w:cs="仿宋"/>
                <w:sz w:val="24"/>
                <w:szCs w:val="24"/>
              </w:rPr>
            </w:pPr>
            <w:r>
              <w:rPr>
                <w:rFonts w:hint="eastAsia" w:ascii="仿宋" w:hAnsi="仿宋" w:eastAsia="仿宋" w:cs="仿宋"/>
                <w:sz w:val="24"/>
                <w:szCs w:val="24"/>
              </w:rPr>
              <w:t>生物</w:t>
            </w:r>
            <w:r>
              <w:rPr>
                <w:rFonts w:hint="eastAsia" w:ascii="仿宋" w:hAnsi="仿宋" w:eastAsia="仿宋" w:cs="仿宋"/>
                <w:sz w:val="24"/>
                <w:szCs w:val="24"/>
                <w:lang w:eastAsia="zh-CN"/>
              </w:rPr>
              <w:t>学</w:t>
            </w:r>
            <w:r>
              <w:rPr>
                <w:rFonts w:hint="eastAsia" w:ascii="仿宋" w:hAnsi="仿宋" w:eastAsia="仿宋" w:cs="仿宋"/>
                <w:sz w:val="24"/>
                <w:szCs w:val="24"/>
              </w:rPr>
              <w:t>危险（源）</w:t>
            </w:r>
          </w:p>
        </w:tc>
        <w:tc>
          <w:tcPr>
            <w:tcW w:w="4280" w:type="dxa"/>
            <w:noWrap w:val="0"/>
            <w:vAlign w:val="center"/>
          </w:tcPr>
          <w:p>
            <w:pPr>
              <w:spacing w:line="380" w:lineRule="exact"/>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产品的材料选择未经生物学评价或使用生物不相容的材料</w:t>
            </w:r>
          </w:p>
        </w:tc>
        <w:tc>
          <w:tcPr>
            <w:tcW w:w="1826" w:type="dxa"/>
            <w:noWrap w:val="0"/>
            <w:vAlign w:val="center"/>
          </w:tcPr>
          <w:p>
            <w:pPr>
              <w:spacing w:line="380" w:lineRule="exact"/>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生物不相容的材料与使用者、患者接触</w:t>
            </w:r>
          </w:p>
        </w:tc>
        <w:tc>
          <w:tcPr>
            <w:tcW w:w="1592"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使用者过敏</w:t>
            </w:r>
          </w:p>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患者感染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3" w:hRule="atLeast"/>
          <w:jc w:val="center"/>
        </w:trPr>
        <w:tc>
          <w:tcPr>
            <w:tcW w:w="1520" w:type="dxa"/>
            <w:noWrap w:val="0"/>
            <w:vAlign w:val="center"/>
          </w:tcPr>
          <w:p>
            <w:pPr>
              <w:spacing w:line="380" w:lineRule="exact"/>
              <w:jc w:val="center"/>
              <w:rPr>
                <w:rFonts w:hint="eastAsia" w:ascii="仿宋" w:hAnsi="仿宋" w:eastAsia="仿宋" w:cs="仿宋"/>
                <w:sz w:val="24"/>
                <w:szCs w:val="24"/>
              </w:rPr>
            </w:pPr>
            <w:r>
              <w:rPr>
                <w:rFonts w:hint="eastAsia" w:ascii="仿宋" w:hAnsi="仿宋" w:eastAsia="仿宋" w:cs="仿宋"/>
                <w:sz w:val="24"/>
                <w:szCs w:val="24"/>
              </w:rPr>
              <w:t>生物</w:t>
            </w:r>
            <w:r>
              <w:rPr>
                <w:rFonts w:hint="eastAsia" w:ascii="仿宋" w:hAnsi="仿宋" w:eastAsia="仿宋" w:cs="仿宋"/>
                <w:sz w:val="24"/>
                <w:szCs w:val="24"/>
                <w:lang w:eastAsia="zh-CN"/>
              </w:rPr>
              <w:t>学</w:t>
            </w:r>
            <w:r>
              <w:rPr>
                <w:rFonts w:hint="eastAsia" w:ascii="仿宋" w:hAnsi="仿宋" w:eastAsia="仿宋" w:cs="仿宋"/>
                <w:sz w:val="24"/>
                <w:szCs w:val="24"/>
              </w:rPr>
              <w:t>危险（源）</w:t>
            </w:r>
          </w:p>
        </w:tc>
        <w:tc>
          <w:tcPr>
            <w:tcW w:w="4280" w:type="dxa"/>
            <w:noWrap w:val="0"/>
            <w:vAlign w:val="center"/>
          </w:tcPr>
          <w:p>
            <w:pPr>
              <w:spacing w:line="380" w:lineRule="exact"/>
              <w:jc w:val="center"/>
              <w:rPr>
                <w:rFonts w:hint="eastAsia" w:ascii="仿宋" w:hAnsi="仿宋" w:eastAsia="仿宋" w:cs="仿宋"/>
                <w:sz w:val="24"/>
                <w:szCs w:val="24"/>
              </w:rPr>
            </w:pPr>
            <w:r>
              <w:rPr>
                <w:rFonts w:hint="eastAsia" w:ascii="仿宋" w:hAnsi="仿宋" w:eastAsia="仿宋" w:cs="仿宋"/>
                <w:sz w:val="24"/>
                <w:szCs w:val="24"/>
                <w:lang w:eastAsia="zh-CN"/>
              </w:rPr>
              <w:t>灭菌工艺未确认，或未严格按照已确认工艺实施灭菌；生产环境未严格按照《医疗器械生产质量管理规范》中的要求进行控制；在标识的灭菌有效期到期前，包装材料老化已不能保持无菌；使用超过灭菌有效期的产品；未能按运输、贮存要求对产品进行防护，造成产品包装破损，产品被污染。</w:t>
            </w:r>
          </w:p>
        </w:tc>
        <w:tc>
          <w:tcPr>
            <w:tcW w:w="1826"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使用者使用了有菌的产品，患者接触到有菌产品</w:t>
            </w:r>
          </w:p>
        </w:tc>
        <w:tc>
          <w:tcPr>
            <w:tcW w:w="1592"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使用者过敏</w:t>
            </w:r>
          </w:p>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患者细菌感染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3" w:hRule="atLeast"/>
          <w:jc w:val="center"/>
        </w:trPr>
        <w:tc>
          <w:tcPr>
            <w:tcW w:w="1520"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化学危险（源）</w:t>
            </w:r>
          </w:p>
        </w:tc>
        <w:tc>
          <w:tcPr>
            <w:tcW w:w="4280"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对环氧乙烷残留量的控制未能按标准确认，或未能按确认结果实施控制，解析不彻底，致使环氧乙烷残留量超标</w:t>
            </w:r>
          </w:p>
        </w:tc>
        <w:tc>
          <w:tcPr>
            <w:tcW w:w="1826"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产品环氧乙烷残留量超标</w:t>
            </w:r>
          </w:p>
        </w:tc>
        <w:tc>
          <w:tcPr>
            <w:tcW w:w="1592"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损害使用人员及患者健康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9" w:hRule="atLeast"/>
          <w:jc w:val="center"/>
        </w:trPr>
        <w:tc>
          <w:tcPr>
            <w:tcW w:w="1520" w:type="dxa"/>
            <w:noWrap w:val="0"/>
            <w:vAlign w:val="center"/>
          </w:tcPr>
          <w:p>
            <w:pPr>
              <w:spacing w:line="380" w:lineRule="exact"/>
              <w:jc w:val="center"/>
              <w:rPr>
                <w:rFonts w:hint="eastAsia" w:ascii="仿宋" w:hAnsi="仿宋" w:eastAsia="仿宋" w:cs="仿宋"/>
                <w:sz w:val="24"/>
                <w:szCs w:val="24"/>
              </w:rPr>
            </w:pPr>
            <w:r>
              <w:rPr>
                <w:rFonts w:hint="eastAsia" w:ascii="仿宋" w:hAnsi="仿宋" w:eastAsia="仿宋" w:cs="仿宋"/>
                <w:sz w:val="24"/>
                <w:szCs w:val="24"/>
              </w:rPr>
              <w:t>生物</w:t>
            </w:r>
            <w:r>
              <w:rPr>
                <w:rFonts w:hint="eastAsia" w:ascii="仿宋" w:hAnsi="仿宋" w:eastAsia="仿宋" w:cs="仿宋"/>
                <w:sz w:val="24"/>
                <w:szCs w:val="24"/>
                <w:lang w:eastAsia="zh-CN"/>
              </w:rPr>
              <w:t>学</w:t>
            </w:r>
            <w:r>
              <w:rPr>
                <w:rFonts w:hint="eastAsia" w:ascii="仿宋" w:hAnsi="仿宋" w:eastAsia="仿宋" w:cs="仿宋"/>
                <w:sz w:val="24"/>
                <w:szCs w:val="24"/>
                <w:lang w:val="en-US" w:eastAsia="zh-CN"/>
              </w:rPr>
              <w:t>/</w:t>
            </w:r>
            <w:r>
              <w:rPr>
                <w:rFonts w:hint="eastAsia" w:ascii="仿宋" w:hAnsi="仿宋" w:eastAsia="仿宋" w:cs="仿宋"/>
                <w:sz w:val="24"/>
                <w:szCs w:val="24"/>
              </w:rPr>
              <w:t>危险（源）</w:t>
            </w:r>
          </w:p>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环境危险（源）</w:t>
            </w:r>
          </w:p>
        </w:tc>
        <w:tc>
          <w:tcPr>
            <w:tcW w:w="4280"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rPr>
              <w:t>使用后的产品没有按照</w:t>
            </w:r>
            <w:r>
              <w:rPr>
                <w:rFonts w:hint="eastAsia" w:ascii="仿宋" w:hAnsi="仿宋" w:eastAsia="仿宋" w:cs="仿宋"/>
                <w:sz w:val="24"/>
                <w:szCs w:val="24"/>
                <w:lang w:eastAsia="zh-CN"/>
              </w:rPr>
              <w:t>医疗垃圾处理</w:t>
            </w:r>
          </w:p>
        </w:tc>
        <w:tc>
          <w:tcPr>
            <w:tcW w:w="1826"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有害物质影响环境</w:t>
            </w:r>
          </w:p>
        </w:tc>
        <w:tc>
          <w:tcPr>
            <w:tcW w:w="1592"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环境污染</w:t>
            </w:r>
          </w:p>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交叉感染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jc w:val="center"/>
        </w:trPr>
        <w:tc>
          <w:tcPr>
            <w:tcW w:w="1520"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信息危险（源）</w:t>
            </w:r>
          </w:p>
        </w:tc>
        <w:tc>
          <w:tcPr>
            <w:tcW w:w="4280"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产品标识和说明书不符合规定、未明确产品运输储存所需环境</w:t>
            </w:r>
          </w:p>
        </w:tc>
        <w:tc>
          <w:tcPr>
            <w:tcW w:w="1826"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使用了不符合要求的产品或产品使用处置不当</w:t>
            </w:r>
          </w:p>
        </w:tc>
        <w:tc>
          <w:tcPr>
            <w:tcW w:w="1592"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人员感染、破坏环境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3" w:hRule="atLeast"/>
          <w:jc w:val="center"/>
        </w:trPr>
        <w:tc>
          <w:tcPr>
            <w:tcW w:w="1520" w:type="dxa"/>
            <w:noWrap w:val="0"/>
            <w:vAlign w:val="center"/>
          </w:tcPr>
          <w:p>
            <w:pPr>
              <w:spacing w:line="380" w:lineRule="exact"/>
              <w:jc w:val="center"/>
              <w:rPr>
                <w:rFonts w:hint="eastAsia" w:ascii="仿宋" w:hAnsi="仿宋" w:eastAsia="仿宋" w:cs="仿宋"/>
                <w:sz w:val="24"/>
                <w:szCs w:val="24"/>
              </w:rPr>
            </w:pPr>
            <w:r>
              <w:rPr>
                <w:rFonts w:hint="eastAsia" w:ascii="仿宋" w:hAnsi="仿宋" w:eastAsia="仿宋" w:cs="仿宋"/>
                <w:color w:val="000000"/>
                <w:sz w:val="24"/>
                <w:szCs w:val="24"/>
                <w:lang w:eastAsia="zh-CN"/>
              </w:rPr>
              <w:t>操作</w:t>
            </w:r>
            <w:r>
              <w:rPr>
                <w:rFonts w:hint="eastAsia" w:ascii="仿宋" w:hAnsi="仿宋" w:eastAsia="仿宋" w:cs="仿宋"/>
                <w:sz w:val="24"/>
                <w:szCs w:val="24"/>
              </w:rPr>
              <w:t>危险（源）</w:t>
            </w:r>
          </w:p>
        </w:tc>
        <w:tc>
          <w:tcPr>
            <w:tcW w:w="4280"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使用产品时操作不当</w:t>
            </w:r>
            <w:r>
              <w:rPr>
                <w:rFonts w:hint="eastAsia" w:ascii="仿宋" w:hAnsi="仿宋" w:eastAsia="仿宋" w:cs="仿宋"/>
                <w:sz w:val="24"/>
                <w:szCs w:val="24"/>
                <w:lang w:val="en-US" w:eastAsia="zh-CN"/>
              </w:rPr>
              <w:t>/不规范、</w:t>
            </w:r>
          </w:p>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产品被重复使用、</w:t>
            </w:r>
          </w:p>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系带和弹性材料断裂</w:t>
            </w:r>
          </w:p>
        </w:tc>
        <w:tc>
          <w:tcPr>
            <w:tcW w:w="1826"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防护效果达不到预期，导致出现细菌感染</w:t>
            </w:r>
          </w:p>
        </w:tc>
        <w:tc>
          <w:tcPr>
            <w:tcW w:w="1592" w:type="dxa"/>
            <w:noWrap w:val="0"/>
            <w:vAlign w:val="center"/>
          </w:tcPr>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患者感染</w:t>
            </w:r>
          </w:p>
          <w:p>
            <w:pPr>
              <w:spacing w:line="38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延误治疗</w:t>
            </w:r>
          </w:p>
        </w:tc>
      </w:tr>
    </w:tbl>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480" w:firstLineChars="200"/>
        <w:textAlignment w:val="auto"/>
        <w:rPr>
          <w:rFonts w:hint="eastAsia" w:ascii="楷体" w:hAnsi="楷体" w:eastAsia="楷体" w:cs="楷体_GB2312"/>
          <w:bCs/>
          <w:sz w:val="24"/>
          <w:szCs w:val="24"/>
          <w:lang w:eastAsia="zh-CN"/>
        </w:rPr>
      </w:pPr>
      <w:r>
        <w:rPr>
          <w:rFonts w:eastAsia="仿宋_GB2312"/>
          <w:sz w:val="24"/>
          <w:szCs w:val="24"/>
        </w:rPr>
        <w:t>注：上表内容仅为风险分析示例，并不用于注册申请人风险管理报告的制定，注册申请人应根据自身实际风险分析情况，确定其危害，制定产品风险管理报告。针对产品的各项风险，企业应采取应对措施，确保风险降到可接受的程度。注册申请人应按照YY/T 0316中规定的过程和方法，在产品整个生命周期内建立、形成文件和保持一个持续的过程，用以判定与医疗器械有关的危害、估计和评价相关的风险、控制这些风险并监视上述控制的有效性，以充分保证产品的安全和有效。</w:t>
      </w:r>
    </w:p>
    <w:p>
      <w:pPr>
        <w:pStyle w:val="30"/>
        <w:keepNext w:val="0"/>
        <w:keepLines w:val="0"/>
        <w:pageBreakBefore w:val="0"/>
        <w:numPr>
          <w:ilvl w:val="0"/>
          <w:numId w:val="3"/>
        </w:numPr>
        <w:kinsoku/>
        <w:wordWrap/>
        <w:overflowPunct w:val="0"/>
        <w:topLinePunct w:val="0"/>
        <w:autoSpaceDE w:val="0"/>
        <w:autoSpaceDN w:val="0"/>
        <w:bidi w:val="0"/>
        <w:snapToGrid/>
        <w:spacing w:line="520" w:lineRule="exact"/>
        <w:ind w:left="0" w:firstLine="640"/>
        <w:textAlignment w:val="auto"/>
        <w:outlineLvl w:val="1"/>
        <w:rPr>
          <w:rFonts w:ascii="Times New Roman" w:hAnsi="Times New Roman" w:eastAsia="黑体"/>
          <w:snapToGrid w:val="0"/>
          <w:kern w:val="0"/>
          <w:sz w:val="32"/>
          <w:szCs w:val="32"/>
          <w:lang w:val="zh-CN"/>
        </w:rPr>
      </w:pPr>
      <w:r>
        <w:rPr>
          <w:rFonts w:ascii="Times New Roman" w:hAnsi="Times New Roman" w:eastAsia="黑体"/>
          <w:snapToGrid w:val="0"/>
          <w:kern w:val="0"/>
          <w:sz w:val="32"/>
          <w:szCs w:val="32"/>
        </w:rPr>
        <w:t>明确风险可接受准则</w:t>
      </w:r>
      <w:bookmarkEnd w:id="5"/>
    </w:p>
    <w:p>
      <w:pPr>
        <w:pStyle w:val="30"/>
        <w:keepNext w:val="0"/>
        <w:keepLines w:val="0"/>
        <w:pageBreakBefore w:val="0"/>
        <w:numPr>
          <w:ilvl w:val="0"/>
          <w:numId w:val="3"/>
        </w:numPr>
        <w:kinsoku/>
        <w:wordWrap/>
        <w:overflowPunct w:val="0"/>
        <w:topLinePunct w:val="0"/>
        <w:autoSpaceDE w:val="0"/>
        <w:autoSpaceDN w:val="0"/>
        <w:bidi w:val="0"/>
        <w:snapToGrid/>
        <w:spacing w:line="520" w:lineRule="exact"/>
        <w:ind w:left="0" w:firstLine="640"/>
        <w:textAlignment w:val="auto"/>
        <w:outlineLvl w:val="1"/>
        <w:rPr>
          <w:rFonts w:ascii="Times New Roman" w:hAnsi="Times New Roman" w:eastAsia="黑体"/>
          <w:snapToGrid w:val="0"/>
          <w:color w:val="000000"/>
          <w:kern w:val="0"/>
          <w:sz w:val="32"/>
          <w:szCs w:val="32"/>
          <w:lang w:val="zh-CN"/>
        </w:rPr>
      </w:pPr>
      <w:r>
        <w:rPr>
          <w:rFonts w:ascii="Times New Roman" w:hAnsi="Times New Roman" w:eastAsia="黑体"/>
          <w:snapToGrid w:val="0"/>
          <w:color w:val="000000"/>
          <w:kern w:val="0"/>
          <w:sz w:val="32"/>
          <w:szCs w:val="32"/>
          <w:lang w:val="zh-CN"/>
        </w:rPr>
        <w:t>对所</w:t>
      </w:r>
      <w:r>
        <w:rPr>
          <w:rFonts w:ascii="Times New Roman" w:hAnsi="Times New Roman" w:eastAsia="黑体"/>
          <w:snapToGrid w:val="0"/>
          <w:kern w:val="0"/>
          <w:sz w:val="32"/>
          <w:szCs w:val="32"/>
        </w:rPr>
        <w:t>判定</w:t>
      </w:r>
      <w:r>
        <w:rPr>
          <w:rFonts w:ascii="Times New Roman" w:hAnsi="Times New Roman" w:eastAsia="黑体"/>
          <w:snapToGrid w:val="0"/>
          <w:color w:val="000000"/>
          <w:kern w:val="0"/>
          <w:sz w:val="32"/>
          <w:szCs w:val="32"/>
          <w:lang w:val="zh-CN"/>
        </w:rPr>
        <w:t>的危害采取的降低风险的控制措施</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r>
        <w:rPr>
          <w:rFonts w:eastAsia="仿宋_GB2312"/>
          <w:snapToGrid w:val="0"/>
          <w:color w:val="000000"/>
          <w:kern w:val="0"/>
          <w:sz w:val="32"/>
          <w:szCs w:val="32"/>
          <w:lang w:val="zh-CN"/>
        </w:rPr>
        <w:t>为对所有</w:t>
      </w:r>
      <w:r>
        <w:rPr>
          <w:rFonts w:eastAsia="仿宋_GB2312"/>
          <w:snapToGrid w:val="0"/>
          <w:kern w:val="0"/>
          <w:sz w:val="32"/>
          <w:szCs w:val="32"/>
          <w:lang w:val="zh-CN"/>
        </w:rPr>
        <w:t>危害</w:t>
      </w:r>
      <w:r>
        <w:rPr>
          <w:rFonts w:eastAsia="仿宋_GB2312"/>
          <w:snapToGrid w:val="0"/>
          <w:color w:val="000000"/>
          <w:kern w:val="0"/>
          <w:sz w:val="32"/>
          <w:szCs w:val="32"/>
          <w:lang w:val="zh-CN"/>
        </w:rPr>
        <w:t>，使其风险达到可接受的水平，一般依次采取如下的一种或多种方法：</w:t>
      </w:r>
    </w:p>
    <w:p>
      <w:pPr>
        <w:keepNext w:val="0"/>
        <w:keepLines w:val="0"/>
        <w:pageBreakBefore w:val="0"/>
        <w:tabs>
          <w:tab w:val="left" w:pos="540"/>
          <w:tab w:val="left" w:pos="720"/>
        </w:tabs>
        <w:kinsoku/>
        <w:wordWrap/>
        <w:overflowPunct w:val="0"/>
        <w:topLinePunct w:val="0"/>
        <w:autoSpaceDE w:val="0"/>
        <w:autoSpaceDN w:val="0"/>
        <w:bidi w:val="0"/>
        <w:adjustRightInd w:val="0"/>
        <w:snapToGrid/>
        <w:spacing w:line="520" w:lineRule="exact"/>
        <w:ind w:firstLine="640" w:firstLineChars="200"/>
        <w:textAlignment w:val="auto"/>
        <w:outlineLvl w:val="2"/>
        <w:rPr>
          <w:rFonts w:eastAsia="楷体_GB2312"/>
          <w:color w:val="000000"/>
          <w:sz w:val="32"/>
          <w:szCs w:val="32"/>
          <w:lang w:val="zh-CN"/>
        </w:rPr>
      </w:pPr>
      <w:r>
        <w:rPr>
          <w:rFonts w:hint="eastAsia" w:eastAsia="楷体_GB2312"/>
          <w:color w:val="000000"/>
          <w:sz w:val="32"/>
          <w:szCs w:val="32"/>
          <w:lang w:val="zh-CN"/>
        </w:rPr>
        <w:t>（一）通过设计取得固有安全性；</w:t>
      </w:r>
    </w:p>
    <w:p>
      <w:pPr>
        <w:keepNext w:val="0"/>
        <w:keepLines w:val="0"/>
        <w:pageBreakBefore w:val="0"/>
        <w:tabs>
          <w:tab w:val="left" w:pos="540"/>
          <w:tab w:val="left" w:pos="720"/>
        </w:tabs>
        <w:kinsoku/>
        <w:wordWrap/>
        <w:overflowPunct w:val="0"/>
        <w:topLinePunct w:val="0"/>
        <w:autoSpaceDE w:val="0"/>
        <w:autoSpaceDN w:val="0"/>
        <w:bidi w:val="0"/>
        <w:adjustRightInd w:val="0"/>
        <w:snapToGrid/>
        <w:spacing w:line="520" w:lineRule="exact"/>
        <w:ind w:firstLine="640" w:firstLineChars="200"/>
        <w:textAlignment w:val="auto"/>
        <w:outlineLvl w:val="2"/>
        <w:rPr>
          <w:rFonts w:eastAsia="楷体_GB2312"/>
          <w:color w:val="000000"/>
          <w:sz w:val="32"/>
          <w:szCs w:val="32"/>
          <w:lang w:val="zh-CN"/>
        </w:rPr>
      </w:pPr>
      <w:r>
        <w:rPr>
          <w:rFonts w:hint="eastAsia" w:eastAsia="楷体_GB2312"/>
          <w:color w:val="000000"/>
          <w:sz w:val="32"/>
          <w:szCs w:val="32"/>
          <w:lang w:val="zh-CN"/>
        </w:rPr>
        <w:t>（二）医疗器械本身或在生产过程中的防护措施；</w:t>
      </w:r>
    </w:p>
    <w:p>
      <w:pPr>
        <w:keepNext w:val="0"/>
        <w:keepLines w:val="0"/>
        <w:pageBreakBefore w:val="0"/>
        <w:tabs>
          <w:tab w:val="left" w:pos="540"/>
          <w:tab w:val="left" w:pos="720"/>
        </w:tabs>
        <w:kinsoku/>
        <w:wordWrap/>
        <w:overflowPunct w:val="0"/>
        <w:topLinePunct w:val="0"/>
        <w:autoSpaceDE w:val="0"/>
        <w:autoSpaceDN w:val="0"/>
        <w:bidi w:val="0"/>
        <w:adjustRightInd w:val="0"/>
        <w:snapToGrid/>
        <w:spacing w:line="520" w:lineRule="exact"/>
        <w:ind w:firstLine="640" w:firstLineChars="200"/>
        <w:textAlignment w:val="auto"/>
        <w:outlineLvl w:val="2"/>
        <w:rPr>
          <w:rFonts w:eastAsia="仿宋_GB2312"/>
          <w:snapToGrid w:val="0"/>
          <w:color w:val="000000"/>
          <w:kern w:val="0"/>
          <w:sz w:val="32"/>
          <w:szCs w:val="32"/>
          <w:lang w:val="zh-CN"/>
        </w:rPr>
      </w:pPr>
      <w:r>
        <w:rPr>
          <w:rFonts w:hint="eastAsia" w:eastAsia="楷体_GB2312"/>
          <w:color w:val="000000"/>
          <w:sz w:val="32"/>
          <w:szCs w:val="32"/>
          <w:lang w:val="zh-CN"/>
        </w:rPr>
        <w:t>（三）告知安全信息。</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r>
        <w:rPr>
          <w:rFonts w:eastAsia="仿宋_GB2312"/>
          <w:snapToGrid w:val="0"/>
          <w:color w:val="000000"/>
          <w:kern w:val="0"/>
          <w:sz w:val="32"/>
          <w:szCs w:val="32"/>
          <w:lang w:val="zh-CN"/>
        </w:rPr>
        <w:t>申请人应根据所列出的危害，逐项列出用于将风险降低到可接受水平的采取措施</w:t>
      </w:r>
      <w:r>
        <w:rPr>
          <w:rFonts w:hint="eastAsia" w:eastAsia="仿宋_GB2312"/>
          <w:snapToGrid w:val="0"/>
          <w:color w:val="000000"/>
          <w:kern w:val="0"/>
          <w:sz w:val="32"/>
          <w:szCs w:val="32"/>
          <w:lang w:val="zh-CN"/>
        </w:rPr>
        <w:t>。</w:t>
      </w:r>
    </w:p>
    <w:p>
      <w:pPr>
        <w:pStyle w:val="30"/>
        <w:keepNext w:val="0"/>
        <w:keepLines w:val="0"/>
        <w:pageBreakBefore w:val="0"/>
        <w:numPr>
          <w:ilvl w:val="0"/>
          <w:numId w:val="3"/>
        </w:numPr>
        <w:kinsoku/>
        <w:wordWrap/>
        <w:overflowPunct w:val="0"/>
        <w:topLinePunct w:val="0"/>
        <w:autoSpaceDE w:val="0"/>
        <w:autoSpaceDN w:val="0"/>
        <w:bidi w:val="0"/>
        <w:snapToGrid/>
        <w:spacing w:line="520" w:lineRule="exact"/>
        <w:ind w:left="0" w:firstLine="640"/>
        <w:textAlignment w:val="auto"/>
        <w:outlineLvl w:val="1"/>
        <w:rPr>
          <w:rFonts w:ascii="Times New Roman" w:hAnsi="Times New Roman" w:eastAsia="黑体"/>
          <w:snapToGrid w:val="0"/>
          <w:color w:val="000000"/>
          <w:kern w:val="0"/>
          <w:sz w:val="32"/>
          <w:szCs w:val="32"/>
          <w:lang w:val="zh-CN"/>
        </w:rPr>
      </w:pPr>
      <w:r>
        <w:rPr>
          <w:rFonts w:ascii="Times New Roman" w:hAnsi="Times New Roman" w:eastAsia="黑体"/>
          <w:snapToGrid w:val="0"/>
          <w:color w:val="000000"/>
          <w:kern w:val="0"/>
          <w:sz w:val="32"/>
          <w:szCs w:val="32"/>
          <w:lang w:val="zh-CN"/>
        </w:rPr>
        <w:t>对采取控制措施后的剩余风险进行估计和评价</w:t>
      </w:r>
    </w:p>
    <w:p>
      <w:pPr>
        <w:keepNext w:val="0"/>
        <w:keepLines w:val="0"/>
        <w:pageBreakBefore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r>
        <w:rPr>
          <w:rFonts w:eastAsia="仿宋_GB2312"/>
          <w:snapToGrid w:val="0"/>
          <w:color w:val="000000"/>
          <w:kern w:val="0"/>
          <w:sz w:val="32"/>
          <w:szCs w:val="32"/>
          <w:lang w:val="zh-CN"/>
        </w:rPr>
        <w:t>申请人应</w:t>
      </w:r>
      <w:r>
        <w:rPr>
          <w:rFonts w:eastAsia="仿宋_GB2312"/>
          <w:snapToGrid w:val="0"/>
          <w:kern w:val="0"/>
          <w:sz w:val="32"/>
          <w:szCs w:val="32"/>
          <w:lang w:val="zh-CN"/>
        </w:rPr>
        <w:t>针对</w:t>
      </w:r>
      <w:r>
        <w:rPr>
          <w:rFonts w:eastAsia="仿宋_GB2312"/>
          <w:snapToGrid w:val="0"/>
          <w:color w:val="000000"/>
          <w:kern w:val="0"/>
          <w:sz w:val="32"/>
          <w:szCs w:val="32"/>
          <w:lang w:val="zh-CN"/>
        </w:rPr>
        <w:t>剩余风险进行逐项估计，确认均达到可接受水平。评价方法至少采用YY/T 0316标准附录D半定量分析法，即每项风险危害的严重度、发生概率定性和半定量分级。</w:t>
      </w:r>
    </w:p>
    <w:p>
      <w:pPr>
        <w:overflowPunct w:val="0"/>
        <w:autoSpaceDE w:val="0"/>
        <w:autoSpaceDN w:val="0"/>
        <w:adjustRightInd w:val="0"/>
        <w:spacing w:line="560" w:lineRule="exact"/>
        <w:ind w:firstLine="640" w:firstLineChars="200"/>
        <w:rPr>
          <w:rFonts w:eastAsia="仿宋_GB2312"/>
          <w:snapToGrid w:val="0"/>
          <w:color w:val="000000"/>
          <w:kern w:val="0"/>
          <w:sz w:val="32"/>
          <w:szCs w:val="32"/>
          <w:lang w:val="zh-CN"/>
        </w:rPr>
      </w:pPr>
    </w:p>
    <w:p>
      <w:pPr>
        <w:overflowPunct w:val="0"/>
        <w:autoSpaceDE w:val="0"/>
        <w:autoSpaceDN w:val="0"/>
        <w:adjustRightInd w:val="0"/>
        <w:spacing w:line="560" w:lineRule="exact"/>
        <w:ind w:firstLine="560" w:firstLineChars="200"/>
        <w:jc w:val="center"/>
        <w:rPr>
          <w:rFonts w:eastAsia="黑体" w:cs="黑体"/>
          <w:bCs/>
          <w:snapToGrid w:val="0"/>
          <w:color w:val="000000"/>
          <w:kern w:val="0"/>
          <w:sz w:val="28"/>
          <w:szCs w:val="28"/>
          <w:lang w:val="zh-CN"/>
        </w:rPr>
      </w:pPr>
      <w:r>
        <w:rPr>
          <w:rFonts w:hint="eastAsia" w:eastAsia="黑体" w:cs="黑体"/>
          <w:bCs/>
          <w:snapToGrid w:val="0"/>
          <w:color w:val="000000"/>
          <w:kern w:val="0"/>
          <w:sz w:val="28"/>
          <w:szCs w:val="28"/>
          <w:lang w:val="zh-CN"/>
        </w:rPr>
        <w:t>严重度定性分5级的示例表</w:t>
      </w:r>
    </w:p>
    <w:tbl>
      <w:tblPr>
        <w:tblStyle w:val="17"/>
        <w:tblW w:w="0" w:type="auto"/>
        <w:jc w:val="center"/>
        <w:tblLayout w:type="fixed"/>
        <w:tblCellMar>
          <w:top w:w="57" w:type="dxa"/>
          <w:left w:w="57" w:type="dxa"/>
          <w:bottom w:w="57" w:type="dxa"/>
          <w:right w:w="57" w:type="dxa"/>
        </w:tblCellMar>
      </w:tblPr>
      <w:tblGrid>
        <w:gridCol w:w="2941"/>
        <w:gridCol w:w="5386"/>
      </w:tblGrid>
      <w:tr>
        <w:tblPrEx>
          <w:tblCellMar>
            <w:top w:w="57" w:type="dxa"/>
            <w:left w:w="57" w:type="dxa"/>
            <w:bottom w:w="57" w:type="dxa"/>
            <w:right w:w="57" w:type="dxa"/>
          </w:tblCellMar>
        </w:tblPrEx>
        <w:trPr>
          <w:trHeight w:val="451" w:hRule="atLeast"/>
          <w:jc w:val="center"/>
        </w:trPr>
        <w:tc>
          <w:tcPr>
            <w:tcW w:w="294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黑体" w:cs="黑体"/>
                <w:snapToGrid w:val="0"/>
                <w:color w:val="000000"/>
                <w:kern w:val="0"/>
                <w:sz w:val="28"/>
              </w:rPr>
            </w:pPr>
            <w:r>
              <w:rPr>
                <w:rFonts w:hint="eastAsia" w:eastAsia="黑体" w:cs="黑体"/>
                <w:snapToGrid w:val="0"/>
                <w:color w:val="000000"/>
                <w:kern w:val="0"/>
                <w:sz w:val="28"/>
                <w:lang w:val="zh-CN"/>
              </w:rPr>
              <w:t>术语</w:t>
            </w:r>
          </w:p>
        </w:tc>
        <w:tc>
          <w:tcPr>
            <w:tcW w:w="5386"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黑体" w:cs="黑体"/>
                <w:snapToGrid w:val="0"/>
                <w:color w:val="000000"/>
                <w:kern w:val="0"/>
                <w:sz w:val="28"/>
              </w:rPr>
            </w:pPr>
            <w:r>
              <w:rPr>
                <w:rFonts w:hint="eastAsia" w:eastAsia="黑体" w:cs="黑体"/>
                <w:snapToGrid w:val="0"/>
                <w:color w:val="000000"/>
                <w:kern w:val="0"/>
                <w:sz w:val="28"/>
                <w:lang w:val="zh-CN"/>
              </w:rPr>
              <w:t>可能描述</w:t>
            </w:r>
          </w:p>
        </w:tc>
      </w:tr>
      <w:tr>
        <w:tblPrEx>
          <w:tblCellMar>
            <w:top w:w="57" w:type="dxa"/>
            <w:left w:w="57" w:type="dxa"/>
            <w:bottom w:w="57" w:type="dxa"/>
            <w:right w:w="57" w:type="dxa"/>
          </w:tblCellMar>
        </w:tblPrEx>
        <w:trPr>
          <w:trHeight w:val="472" w:hRule="atLeast"/>
          <w:jc w:val="center"/>
        </w:trPr>
        <w:tc>
          <w:tcPr>
            <w:tcW w:w="294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灾难性的</w:t>
            </w:r>
          </w:p>
        </w:tc>
        <w:tc>
          <w:tcPr>
            <w:tcW w:w="5386"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导致患者死亡</w:t>
            </w:r>
          </w:p>
        </w:tc>
      </w:tr>
      <w:tr>
        <w:tblPrEx>
          <w:tblCellMar>
            <w:top w:w="57" w:type="dxa"/>
            <w:left w:w="57" w:type="dxa"/>
            <w:bottom w:w="57" w:type="dxa"/>
            <w:right w:w="57" w:type="dxa"/>
          </w:tblCellMar>
        </w:tblPrEx>
        <w:trPr>
          <w:trHeight w:val="450" w:hRule="atLeast"/>
          <w:jc w:val="center"/>
        </w:trPr>
        <w:tc>
          <w:tcPr>
            <w:tcW w:w="294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危重的</w:t>
            </w:r>
          </w:p>
        </w:tc>
        <w:tc>
          <w:tcPr>
            <w:tcW w:w="5386"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导致永久性损伤或危及生命的伤害</w:t>
            </w:r>
          </w:p>
        </w:tc>
      </w:tr>
      <w:tr>
        <w:tblPrEx>
          <w:tblCellMar>
            <w:top w:w="57" w:type="dxa"/>
            <w:left w:w="57" w:type="dxa"/>
            <w:bottom w:w="57" w:type="dxa"/>
            <w:right w:w="57" w:type="dxa"/>
          </w:tblCellMar>
        </w:tblPrEx>
        <w:trPr>
          <w:trHeight w:val="456" w:hRule="atLeast"/>
          <w:jc w:val="center"/>
        </w:trPr>
        <w:tc>
          <w:tcPr>
            <w:tcW w:w="294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严重</w:t>
            </w:r>
          </w:p>
        </w:tc>
        <w:tc>
          <w:tcPr>
            <w:tcW w:w="5386"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导致要求专业医疗介入的伤害或损伤</w:t>
            </w:r>
          </w:p>
        </w:tc>
      </w:tr>
      <w:tr>
        <w:tblPrEx>
          <w:tblCellMar>
            <w:top w:w="57" w:type="dxa"/>
            <w:left w:w="57" w:type="dxa"/>
            <w:bottom w:w="57" w:type="dxa"/>
            <w:right w:w="57" w:type="dxa"/>
          </w:tblCellMar>
        </w:tblPrEx>
        <w:trPr>
          <w:trHeight w:val="461" w:hRule="atLeast"/>
          <w:jc w:val="center"/>
        </w:trPr>
        <w:tc>
          <w:tcPr>
            <w:tcW w:w="294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轻度</w:t>
            </w:r>
          </w:p>
        </w:tc>
        <w:tc>
          <w:tcPr>
            <w:tcW w:w="5386"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导致不要求专业医疗介入的暂时伤害或损伤</w:t>
            </w:r>
          </w:p>
        </w:tc>
      </w:tr>
      <w:tr>
        <w:tblPrEx>
          <w:tblCellMar>
            <w:top w:w="57" w:type="dxa"/>
            <w:left w:w="57" w:type="dxa"/>
            <w:bottom w:w="57" w:type="dxa"/>
            <w:right w:w="57" w:type="dxa"/>
          </w:tblCellMar>
        </w:tblPrEx>
        <w:trPr>
          <w:trHeight w:val="552" w:hRule="atLeast"/>
          <w:jc w:val="center"/>
        </w:trPr>
        <w:tc>
          <w:tcPr>
            <w:tcW w:w="294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可忽略</w:t>
            </w:r>
          </w:p>
        </w:tc>
        <w:tc>
          <w:tcPr>
            <w:tcW w:w="5386"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snapToGrid w:val="0"/>
                <w:color w:val="000000"/>
                <w:kern w:val="0"/>
                <w:sz w:val="28"/>
                <w:lang w:val="zh-CN"/>
              </w:rPr>
            </w:pPr>
            <w:r>
              <w:rPr>
                <w:rFonts w:eastAsia="仿宋_GB2312"/>
                <w:snapToGrid w:val="0"/>
                <w:color w:val="000000"/>
                <w:kern w:val="0"/>
                <w:sz w:val="28"/>
                <w:lang w:val="zh-CN"/>
              </w:rPr>
              <w:t>不便或暂时不适</w:t>
            </w:r>
          </w:p>
        </w:tc>
      </w:tr>
    </w:tbl>
    <w:p>
      <w:pPr>
        <w:overflowPunct w:val="0"/>
        <w:autoSpaceDE w:val="0"/>
        <w:autoSpaceDN w:val="0"/>
        <w:adjustRightInd w:val="0"/>
        <w:spacing w:line="560" w:lineRule="exact"/>
        <w:rPr>
          <w:rFonts w:eastAsia="仿宋_GB2312"/>
          <w:b/>
          <w:bCs/>
          <w:snapToGrid w:val="0"/>
          <w:color w:val="000000"/>
          <w:kern w:val="0"/>
          <w:sz w:val="28"/>
          <w:szCs w:val="28"/>
          <w:lang w:val="zh-CN"/>
        </w:rPr>
      </w:pPr>
    </w:p>
    <w:p>
      <w:pPr>
        <w:overflowPunct w:val="0"/>
        <w:autoSpaceDE w:val="0"/>
        <w:autoSpaceDN w:val="0"/>
        <w:adjustRightInd w:val="0"/>
        <w:spacing w:line="560" w:lineRule="exact"/>
        <w:ind w:firstLine="560" w:firstLineChars="200"/>
        <w:jc w:val="center"/>
        <w:rPr>
          <w:rFonts w:eastAsia="黑体" w:cs="黑体"/>
          <w:bCs/>
          <w:snapToGrid w:val="0"/>
          <w:color w:val="000000"/>
          <w:kern w:val="0"/>
          <w:sz w:val="28"/>
          <w:szCs w:val="28"/>
          <w:lang w:val="zh-CN"/>
        </w:rPr>
      </w:pPr>
      <w:r>
        <w:rPr>
          <w:rFonts w:hint="eastAsia" w:eastAsia="黑体" w:cs="黑体"/>
          <w:bCs/>
          <w:snapToGrid w:val="0"/>
          <w:color w:val="000000"/>
          <w:kern w:val="0"/>
          <w:sz w:val="28"/>
          <w:szCs w:val="28"/>
          <w:lang w:val="zh-CN"/>
        </w:rPr>
        <w:t>半定量概率分级示例表</w:t>
      </w:r>
    </w:p>
    <w:tbl>
      <w:tblPr>
        <w:tblStyle w:val="17"/>
        <w:tblW w:w="0" w:type="auto"/>
        <w:jc w:val="center"/>
        <w:tblLayout w:type="fixed"/>
        <w:tblCellMar>
          <w:top w:w="57" w:type="dxa"/>
          <w:left w:w="57" w:type="dxa"/>
          <w:bottom w:w="57" w:type="dxa"/>
          <w:right w:w="57" w:type="dxa"/>
        </w:tblCellMar>
      </w:tblPr>
      <w:tblGrid>
        <w:gridCol w:w="2827"/>
        <w:gridCol w:w="5422"/>
      </w:tblGrid>
      <w:tr>
        <w:tblPrEx>
          <w:tblCellMar>
            <w:top w:w="57" w:type="dxa"/>
            <w:left w:w="57" w:type="dxa"/>
            <w:bottom w:w="57" w:type="dxa"/>
            <w:right w:w="57" w:type="dxa"/>
          </w:tblCellMar>
        </w:tblPrEx>
        <w:trPr>
          <w:jc w:val="center"/>
        </w:trPr>
        <w:tc>
          <w:tcPr>
            <w:tcW w:w="282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黑体" w:cs="黑体"/>
                <w:snapToGrid w:val="0"/>
                <w:color w:val="000000"/>
                <w:kern w:val="0"/>
                <w:sz w:val="28"/>
                <w:szCs w:val="28"/>
              </w:rPr>
            </w:pPr>
            <w:r>
              <w:rPr>
                <w:rFonts w:hint="eastAsia" w:eastAsia="黑体" w:cs="黑体"/>
                <w:snapToGrid w:val="0"/>
                <w:color w:val="000000"/>
                <w:kern w:val="0"/>
                <w:sz w:val="28"/>
                <w:szCs w:val="28"/>
                <w:lang w:val="zh-CN"/>
              </w:rPr>
              <w:t>术语</w:t>
            </w:r>
          </w:p>
        </w:tc>
        <w:tc>
          <w:tcPr>
            <w:tcW w:w="5422"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黑体" w:cs="黑体"/>
                <w:snapToGrid w:val="0"/>
                <w:color w:val="000000"/>
                <w:kern w:val="0"/>
                <w:sz w:val="28"/>
                <w:szCs w:val="28"/>
              </w:rPr>
            </w:pPr>
            <w:r>
              <w:rPr>
                <w:rFonts w:hint="eastAsia" w:eastAsia="黑体" w:cs="黑体"/>
                <w:snapToGrid w:val="0"/>
                <w:color w:val="000000"/>
                <w:kern w:val="0"/>
                <w:sz w:val="28"/>
                <w:szCs w:val="28"/>
                <w:lang w:val="zh-CN"/>
              </w:rPr>
              <w:t>概率范围示例</w:t>
            </w:r>
          </w:p>
        </w:tc>
      </w:tr>
      <w:tr>
        <w:tblPrEx>
          <w:tblCellMar>
            <w:top w:w="57" w:type="dxa"/>
            <w:left w:w="57" w:type="dxa"/>
            <w:bottom w:w="57" w:type="dxa"/>
            <w:right w:w="57" w:type="dxa"/>
          </w:tblCellMar>
        </w:tblPrEx>
        <w:trPr>
          <w:jc w:val="center"/>
        </w:trPr>
        <w:tc>
          <w:tcPr>
            <w:tcW w:w="282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经常</w:t>
            </w:r>
          </w:p>
        </w:tc>
        <w:tc>
          <w:tcPr>
            <w:tcW w:w="5422"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vertAlign w:val="superscript"/>
                <w:lang w:val="zh-CN"/>
              </w:rPr>
            </w:pPr>
            <w:r>
              <w:rPr>
                <w:rFonts w:hint="eastAsia" w:eastAsia="仿宋_GB2312" w:cs="仿宋_GB2312"/>
                <w:snapToGrid w:val="0"/>
                <w:color w:val="000000"/>
                <w:kern w:val="0"/>
                <w:sz w:val="28"/>
                <w:szCs w:val="28"/>
                <w:lang w:val="zh-CN"/>
              </w:rPr>
              <w:t>≥10</w:t>
            </w:r>
            <w:r>
              <w:rPr>
                <w:rFonts w:hint="eastAsia" w:eastAsia="仿宋_GB2312" w:cs="仿宋_GB2312"/>
                <w:snapToGrid w:val="0"/>
                <w:color w:val="000000"/>
                <w:kern w:val="0"/>
                <w:sz w:val="28"/>
                <w:szCs w:val="28"/>
                <w:vertAlign w:val="superscript"/>
                <w:lang w:val="zh-CN"/>
              </w:rPr>
              <w:t>－3</w:t>
            </w:r>
          </w:p>
        </w:tc>
      </w:tr>
      <w:tr>
        <w:tblPrEx>
          <w:tblCellMar>
            <w:top w:w="57" w:type="dxa"/>
            <w:left w:w="57" w:type="dxa"/>
            <w:bottom w:w="57" w:type="dxa"/>
            <w:right w:w="57" w:type="dxa"/>
          </w:tblCellMar>
        </w:tblPrEx>
        <w:trPr>
          <w:jc w:val="center"/>
        </w:trPr>
        <w:tc>
          <w:tcPr>
            <w:tcW w:w="282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有时</w:t>
            </w:r>
          </w:p>
        </w:tc>
        <w:tc>
          <w:tcPr>
            <w:tcW w:w="5422"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vertAlign w:val="superscript"/>
                <w:lang w:val="zh-CN"/>
              </w:rPr>
            </w:pPr>
            <w:r>
              <w:rPr>
                <w:rFonts w:hint="eastAsia" w:eastAsia="仿宋_GB2312" w:cs="仿宋_GB2312"/>
                <w:snapToGrid w:val="0"/>
                <w:color w:val="000000"/>
                <w:kern w:val="0"/>
                <w:sz w:val="28"/>
                <w:szCs w:val="28"/>
                <w:lang w:val="zh-CN"/>
              </w:rPr>
              <w:t>﹤10</w:t>
            </w:r>
            <w:r>
              <w:rPr>
                <w:rFonts w:hint="eastAsia" w:eastAsia="仿宋_GB2312" w:cs="仿宋_GB2312"/>
                <w:snapToGrid w:val="0"/>
                <w:color w:val="000000"/>
                <w:kern w:val="0"/>
                <w:sz w:val="28"/>
                <w:szCs w:val="28"/>
                <w:vertAlign w:val="superscript"/>
                <w:lang w:val="zh-CN"/>
              </w:rPr>
              <w:t xml:space="preserve">－3 </w:t>
            </w:r>
            <w:r>
              <w:rPr>
                <w:rFonts w:hint="eastAsia" w:eastAsia="仿宋_GB2312" w:cs="仿宋_GB2312"/>
                <w:snapToGrid w:val="0"/>
                <w:color w:val="000000"/>
                <w:kern w:val="0"/>
                <w:sz w:val="28"/>
                <w:szCs w:val="28"/>
                <w:lang w:val="zh-CN"/>
              </w:rPr>
              <w:t>≥ 10</w:t>
            </w:r>
            <w:r>
              <w:rPr>
                <w:rFonts w:hint="eastAsia" w:eastAsia="仿宋_GB2312" w:cs="仿宋_GB2312"/>
                <w:snapToGrid w:val="0"/>
                <w:color w:val="000000"/>
                <w:kern w:val="0"/>
                <w:sz w:val="28"/>
                <w:szCs w:val="28"/>
                <w:vertAlign w:val="superscript"/>
                <w:lang w:val="zh-CN"/>
              </w:rPr>
              <w:t>－4</w:t>
            </w:r>
          </w:p>
        </w:tc>
      </w:tr>
      <w:tr>
        <w:tblPrEx>
          <w:tblCellMar>
            <w:top w:w="57" w:type="dxa"/>
            <w:left w:w="57" w:type="dxa"/>
            <w:bottom w:w="57" w:type="dxa"/>
            <w:right w:w="57" w:type="dxa"/>
          </w:tblCellMar>
        </w:tblPrEx>
        <w:trPr>
          <w:jc w:val="center"/>
        </w:trPr>
        <w:tc>
          <w:tcPr>
            <w:tcW w:w="282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偶然</w:t>
            </w:r>
          </w:p>
        </w:tc>
        <w:tc>
          <w:tcPr>
            <w:tcW w:w="5422"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vertAlign w:val="superscript"/>
                <w:lang w:val="zh-CN"/>
              </w:rPr>
            </w:pPr>
            <w:r>
              <w:rPr>
                <w:rFonts w:hint="eastAsia" w:eastAsia="仿宋_GB2312" w:cs="仿宋_GB2312"/>
                <w:snapToGrid w:val="0"/>
                <w:color w:val="000000"/>
                <w:kern w:val="0"/>
                <w:sz w:val="28"/>
                <w:szCs w:val="28"/>
                <w:lang w:val="zh-CN"/>
              </w:rPr>
              <w:t>﹤10</w:t>
            </w:r>
            <w:r>
              <w:rPr>
                <w:rFonts w:hint="eastAsia" w:eastAsia="仿宋_GB2312" w:cs="仿宋_GB2312"/>
                <w:snapToGrid w:val="0"/>
                <w:color w:val="000000"/>
                <w:kern w:val="0"/>
                <w:sz w:val="28"/>
                <w:szCs w:val="28"/>
                <w:vertAlign w:val="superscript"/>
                <w:lang w:val="zh-CN"/>
              </w:rPr>
              <w:t xml:space="preserve">－4 </w:t>
            </w:r>
            <w:r>
              <w:rPr>
                <w:rFonts w:hint="eastAsia" w:eastAsia="仿宋_GB2312" w:cs="仿宋_GB2312"/>
                <w:snapToGrid w:val="0"/>
                <w:color w:val="000000"/>
                <w:kern w:val="0"/>
                <w:sz w:val="28"/>
                <w:szCs w:val="28"/>
                <w:lang w:val="zh-CN"/>
              </w:rPr>
              <w:t>≥ 10</w:t>
            </w:r>
            <w:r>
              <w:rPr>
                <w:rFonts w:hint="eastAsia" w:eastAsia="仿宋_GB2312" w:cs="仿宋_GB2312"/>
                <w:snapToGrid w:val="0"/>
                <w:color w:val="000000"/>
                <w:kern w:val="0"/>
                <w:sz w:val="28"/>
                <w:szCs w:val="28"/>
                <w:vertAlign w:val="superscript"/>
                <w:lang w:val="zh-CN"/>
              </w:rPr>
              <w:t>－5</w:t>
            </w:r>
          </w:p>
        </w:tc>
      </w:tr>
      <w:tr>
        <w:tblPrEx>
          <w:tblCellMar>
            <w:top w:w="57" w:type="dxa"/>
            <w:left w:w="57" w:type="dxa"/>
            <w:bottom w:w="57" w:type="dxa"/>
            <w:right w:w="57" w:type="dxa"/>
          </w:tblCellMar>
        </w:tblPrEx>
        <w:trPr>
          <w:jc w:val="center"/>
        </w:trPr>
        <w:tc>
          <w:tcPr>
            <w:tcW w:w="282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很少</w:t>
            </w:r>
          </w:p>
        </w:tc>
        <w:tc>
          <w:tcPr>
            <w:tcW w:w="5422"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vertAlign w:val="superscript"/>
                <w:lang w:val="zh-CN"/>
              </w:rPr>
            </w:pPr>
            <w:r>
              <w:rPr>
                <w:rFonts w:hint="eastAsia" w:eastAsia="仿宋_GB2312" w:cs="仿宋_GB2312"/>
                <w:snapToGrid w:val="0"/>
                <w:color w:val="000000"/>
                <w:kern w:val="0"/>
                <w:sz w:val="28"/>
                <w:szCs w:val="28"/>
                <w:lang w:val="zh-CN"/>
              </w:rPr>
              <w:t>﹤10</w:t>
            </w:r>
            <w:r>
              <w:rPr>
                <w:rFonts w:hint="eastAsia" w:eastAsia="仿宋_GB2312" w:cs="仿宋_GB2312"/>
                <w:snapToGrid w:val="0"/>
                <w:color w:val="000000"/>
                <w:kern w:val="0"/>
                <w:sz w:val="28"/>
                <w:szCs w:val="28"/>
                <w:vertAlign w:val="superscript"/>
                <w:lang w:val="zh-CN"/>
              </w:rPr>
              <w:t xml:space="preserve">－5 </w:t>
            </w:r>
            <w:r>
              <w:rPr>
                <w:rFonts w:hint="eastAsia" w:eastAsia="仿宋_GB2312" w:cs="仿宋_GB2312"/>
                <w:snapToGrid w:val="0"/>
                <w:color w:val="000000"/>
                <w:kern w:val="0"/>
                <w:sz w:val="28"/>
                <w:szCs w:val="28"/>
                <w:lang w:val="zh-CN"/>
              </w:rPr>
              <w:t>≥ 10</w:t>
            </w:r>
            <w:r>
              <w:rPr>
                <w:rFonts w:hint="eastAsia" w:eastAsia="仿宋_GB2312" w:cs="仿宋_GB2312"/>
                <w:snapToGrid w:val="0"/>
                <w:color w:val="000000"/>
                <w:kern w:val="0"/>
                <w:sz w:val="28"/>
                <w:szCs w:val="28"/>
                <w:vertAlign w:val="superscript"/>
                <w:lang w:val="zh-CN"/>
              </w:rPr>
              <w:t>－6</w:t>
            </w:r>
          </w:p>
        </w:tc>
      </w:tr>
      <w:tr>
        <w:tblPrEx>
          <w:tblCellMar>
            <w:top w:w="57" w:type="dxa"/>
            <w:left w:w="57" w:type="dxa"/>
            <w:bottom w:w="57" w:type="dxa"/>
            <w:right w:w="57" w:type="dxa"/>
          </w:tblCellMar>
        </w:tblPrEx>
        <w:trPr>
          <w:jc w:val="center"/>
        </w:trPr>
        <w:tc>
          <w:tcPr>
            <w:tcW w:w="282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非常少</w:t>
            </w:r>
          </w:p>
        </w:tc>
        <w:tc>
          <w:tcPr>
            <w:tcW w:w="5422"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﹤10</w:t>
            </w:r>
            <w:r>
              <w:rPr>
                <w:rFonts w:hint="eastAsia" w:eastAsia="仿宋_GB2312" w:cs="仿宋_GB2312"/>
                <w:snapToGrid w:val="0"/>
                <w:color w:val="000000"/>
                <w:kern w:val="0"/>
                <w:sz w:val="28"/>
                <w:szCs w:val="28"/>
                <w:vertAlign w:val="superscript"/>
                <w:lang w:val="zh-CN"/>
              </w:rPr>
              <w:t>－6</w:t>
            </w:r>
          </w:p>
        </w:tc>
      </w:tr>
    </w:tbl>
    <w:p>
      <w:pPr>
        <w:keepNext w:val="0"/>
        <w:keepLines w:val="0"/>
        <w:pageBreakBefore w:val="0"/>
        <w:widowControl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color w:val="000000"/>
          <w:kern w:val="0"/>
          <w:sz w:val="32"/>
          <w:szCs w:val="32"/>
          <w:lang w:val="zh-CN"/>
        </w:rPr>
      </w:pPr>
    </w:p>
    <w:p>
      <w:pPr>
        <w:keepNext w:val="0"/>
        <w:keepLines w:val="0"/>
        <w:pageBreakBefore w:val="0"/>
        <w:widowControl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kern w:val="0"/>
          <w:sz w:val="32"/>
          <w:szCs w:val="32"/>
          <w:lang w:val="zh-CN"/>
        </w:rPr>
      </w:pPr>
      <w:r>
        <w:rPr>
          <w:rFonts w:eastAsia="仿宋_GB2312"/>
          <w:snapToGrid w:val="0"/>
          <w:color w:val="000000"/>
          <w:kern w:val="0"/>
          <w:sz w:val="32"/>
          <w:szCs w:val="32"/>
          <w:lang w:val="zh-CN"/>
        </w:rPr>
        <w:t>为每项风险在二维风险图绘制风险位置点，</w:t>
      </w:r>
      <w:r>
        <w:rPr>
          <w:rFonts w:eastAsia="仿宋_GB2312"/>
          <w:snapToGrid w:val="0"/>
          <w:kern w:val="0"/>
          <w:sz w:val="32"/>
          <w:szCs w:val="32"/>
          <w:lang w:val="zh-CN"/>
        </w:rPr>
        <w:t>应确保每项剩余风险均在可接受的区域内（下表空白格内）。</w:t>
      </w:r>
    </w:p>
    <w:p>
      <w:pPr>
        <w:keepNext w:val="0"/>
        <w:keepLines w:val="0"/>
        <w:pageBreakBefore w:val="0"/>
        <w:widowControl w:val="0"/>
        <w:kinsoku/>
        <w:wordWrap/>
        <w:overflowPunct w:val="0"/>
        <w:topLinePunct w:val="0"/>
        <w:autoSpaceDE w:val="0"/>
        <w:autoSpaceDN w:val="0"/>
        <w:bidi w:val="0"/>
        <w:adjustRightInd w:val="0"/>
        <w:snapToGrid/>
        <w:spacing w:line="520" w:lineRule="exact"/>
        <w:ind w:firstLine="640" w:firstLineChars="200"/>
        <w:textAlignment w:val="auto"/>
        <w:rPr>
          <w:rFonts w:eastAsia="仿宋_GB2312"/>
          <w:snapToGrid w:val="0"/>
          <w:kern w:val="0"/>
          <w:sz w:val="32"/>
          <w:szCs w:val="32"/>
          <w:lang w:val="zh-CN"/>
        </w:rPr>
      </w:pPr>
    </w:p>
    <w:tbl>
      <w:tblPr>
        <w:tblStyle w:val="17"/>
        <w:tblW w:w="0" w:type="auto"/>
        <w:jc w:val="center"/>
        <w:tblLayout w:type="fixed"/>
        <w:tblCellMar>
          <w:top w:w="0" w:type="dxa"/>
          <w:left w:w="108" w:type="dxa"/>
          <w:bottom w:w="0" w:type="dxa"/>
          <w:right w:w="108" w:type="dxa"/>
        </w:tblCellMar>
      </w:tblPr>
      <w:tblGrid>
        <w:gridCol w:w="1135"/>
        <w:gridCol w:w="1591"/>
        <w:gridCol w:w="1217"/>
        <w:gridCol w:w="1217"/>
        <w:gridCol w:w="1218"/>
        <w:gridCol w:w="1218"/>
        <w:gridCol w:w="1218"/>
      </w:tblGrid>
      <w:tr>
        <w:tblPrEx>
          <w:tblCellMar>
            <w:top w:w="0" w:type="dxa"/>
            <w:left w:w="108" w:type="dxa"/>
            <w:bottom w:w="0" w:type="dxa"/>
            <w:right w:w="108" w:type="dxa"/>
          </w:tblCellMar>
        </w:tblPrEx>
        <w:trPr>
          <w:jc w:val="center"/>
        </w:trPr>
        <w:tc>
          <w:tcPr>
            <w:tcW w:w="1135"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7679" w:type="dxa"/>
            <w:gridSpan w:val="6"/>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黑体" w:cs="黑体"/>
                <w:snapToGrid w:val="0"/>
                <w:color w:val="000000"/>
                <w:kern w:val="0"/>
                <w:sz w:val="28"/>
                <w:szCs w:val="28"/>
                <w:lang w:val="zh-CN"/>
              </w:rPr>
              <w:t>定性的严重度水平</w:t>
            </w:r>
          </w:p>
        </w:tc>
      </w:tr>
      <w:tr>
        <w:tblPrEx>
          <w:tblCellMar>
            <w:top w:w="0" w:type="dxa"/>
            <w:left w:w="108" w:type="dxa"/>
            <w:bottom w:w="0" w:type="dxa"/>
            <w:right w:w="108" w:type="dxa"/>
          </w:tblCellMar>
        </w:tblPrEx>
        <w:trPr>
          <w:jc w:val="center"/>
        </w:trPr>
        <w:tc>
          <w:tcPr>
            <w:tcW w:w="1135" w:type="dxa"/>
            <w:vMerge w:val="restart"/>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半</w:t>
            </w:r>
          </w:p>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定</w:t>
            </w:r>
          </w:p>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量</w:t>
            </w:r>
          </w:p>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的</w:t>
            </w:r>
          </w:p>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概</w:t>
            </w:r>
          </w:p>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率</w:t>
            </w:r>
          </w:p>
        </w:tc>
        <w:tc>
          <w:tcPr>
            <w:tcW w:w="159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可忽略</w:t>
            </w: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较小的</w:t>
            </w: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严重</w:t>
            </w: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危重的</w:t>
            </w: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灾难的</w:t>
            </w:r>
          </w:p>
        </w:tc>
      </w:tr>
      <w:tr>
        <w:tblPrEx>
          <w:tblCellMar>
            <w:top w:w="0" w:type="dxa"/>
            <w:left w:w="108" w:type="dxa"/>
            <w:bottom w:w="0" w:type="dxa"/>
            <w:right w:w="108" w:type="dxa"/>
          </w:tblCellMar>
        </w:tblPrEx>
        <w:trPr>
          <w:jc w:val="center"/>
        </w:trPr>
        <w:tc>
          <w:tcPr>
            <w:tcW w:w="1135" w:type="dxa"/>
            <w:vMerge w:val="continue"/>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59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经常</w:t>
            </w: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r>
      <w:tr>
        <w:tblPrEx>
          <w:tblCellMar>
            <w:top w:w="0" w:type="dxa"/>
            <w:left w:w="108" w:type="dxa"/>
            <w:bottom w:w="0" w:type="dxa"/>
            <w:right w:w="108" w:type="dxa"/>
          </w:tblCellMar>
        </w:tblPrEx>
        <w:trPr>
          <w:jc w:val="center"/>
        </w:trPr>
        <w:tc>
          <w:tcPr>
            <w:tcW w:w="1135" w:type="dxa"/>
            <w:vMerge w:val="continue"/>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59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有时</w:t>
            </w: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r>
      <w:tr>
        <w:tblPrEx>
          <w:tblCellMar>
            <w:top w:w="0" w:type="dxa"/>
            <w:left w:w="108" w:type="dxa"/>
            <w:bottom w:w="0" w:type="dxa"/>
            <w:right w:w="108" w:type="dxa"/>
          </w:tblCellMar>
        </w:tblPrEx>
        <w:trPr>
          <w:jc w:val="center"/>
        </w:trPr>
        <w:tc>
          <w:tcPr>
            <w:tcW w:w="1135" w:type="dxa"/>
            <w:vMerge w:val="continue"/>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59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偶然</w:t>
            </w: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r>
      <w:tr>
        <w:tblPrEx>
          <w:tblCellMar>
            <w:top w:w="0" w:type="dxa"/>
            <w:left w:w="108" w:type="dxa"/>
            <w:bottom w:w="0" w:type="dxa"/>
            <w:right w:w="108" w:type="dxa"/>
          </w:tblCellMar>
        </w:tblPrEx>
        <w:trPr>
          <w:jc w:val="center"/>
        </w:trPr>
        <w:tc>
          <w:tcPr>
            <w:tcW w:w="1135" w:type="dxa"/>
            <w:vMerge w:val="continue"/>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59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很少</w:t>
            </w: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r>
      <w:tr>
        <w:tblPrEx>
          <w:tblCellMar>
            <w:top w:w="0" w:type="dxa"/>
            <w:left w:w="108" w:type="dxa"/>
            <w:bottom w:w="0" w:type="dxa"/>
            <w:right w:w="108" w:type="dxa"/>
          </w:tblCellMar>
        </w:tblPrEx>
        <w:trPr>
          <w:jc w:val="center"/>
        </w:trPr>
        <w:tc>
          <w:tcPr>
            <w:tcW w:w="1135" w:type="dxa"/>
            <w:vMerge w:val="continue"/>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591"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r>
              <w:rPr>
                <w:rFonts w:hint="eastAsia" w:eastAsia="仿宋_GB2312" w:cs="仿宋_GB2312"/>
                <w:snapToGrid w:val="0"/>
                <w:color w:val="000000"/>
                <w:kern w:val="0"/>
                <w:sz w:val="28"/>
                <w:szCs w:val="28"/>
                <w:lang w:val="zh-CN"/>
              </w:rPr>
              <w:t>非常少</w:t>
            </w: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7"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c>
          <w:tcPr>
            <w:tcW w:w="1218" w:type="dxa"/>
            <w:tcBorders>
              <w:top w:val="single" w:color="auto" w:sz="6" w:space="0"/>
              <w:left w:val="single" w:color="auto" w:sz="6" w:space="0"/>
              <w:bottom w:val="single" w:color="auto" w:sz="6" w:space="0"/>
              <w:right w:val="single" w:color="auto" w:sz="6" w:space="0"/>
            </w:tcBorders>
            <w:noWrap w:val="0"/>
            <w:vAlign w:val="center"/>
          </w:tcPr>
          <w:p>
            <w:pPr>
              <w:overflowPunct w:val="0"/>
              <w:autoSpaceDE w:val="0"/>
              <w:autoSpaceDN w:val="0"/>
              <w:adjustRightInd w:val="0"/>
              <w:snapToGrid w:val="0"/>
              <w:jc w:val="center"/>
              <w:rPr>
                <w:rFonts w:eastAsia="仿宋_GB2312" w:cs="仿宋_GB2312"/>
                <w:snapToGrid w:val="0"/>
                <w:color w:val="000000"/>
                <w:kern w:val="0"/>
                <w:sz w:val="28"/>
                <w:szCs w:val="28"/>
                <w:lang w:val="zh-CN"/>
              </w:rPr>
            </w:pPr>
          </w:p>
        </w:tc>
      </w:tr>
    </w:tbl>
    <w:p>
      <w:pPr>
        <w:overflowPunct w:val="0"/>
        <w:autoSpaceDE w:val="0"/>
        <w:autoSpaceDN w:val="0"/>
        <w:spacing w:line="560" w:lineRule="exact"/>
        <w:rPr>
          <w:rFonts w:eastAsia="仿宋_GB2312" w:cs="仿宋_GB2312"/>
          <w:snapToGrid w:val="0"/>
          <w:kern w:val="0"/>
          <w:sz w:val="28"/>
          <w:szCs w:val="28"/>
        </w:rPr>
      </w:pPr>
    </w:p>
    <w:p>
      <w:pPr>
        <w:pStyle w:val="30"/>
        <w:numPr>
          <w:ilvl w:val="0"/>
          <w:numId w:val="3"/>
        </w:numPr>
        <w:overflowPunct w:val="0"/>
        <w:autoSpaceDE w:val="0"/>
        <w:autoSpaceDN w:val="0"/>
        <w:spacing w:line="560" w:lineRule="exact"/>
        <w:ind w:left="0" w:firstLine="640"/>
        <w:outlineLvl w:val="1"/>
        <w:rPr>
          <w:rFonts w:ascii="Times New Roman" w:hAnsi="Times New Roman" w:eastAsia="黑体"/>
          <w:snapToGrid w:val="0"/>
          <w:kern w:val="0"/>
          <w:sz w:val="32"/>
          <w:szCs w:val="32"/>
        </w:rPr>
      </w:pPr>
      <w:bookmarkStart w:id="6" w:name="_Toc430317322"/>
      <w:r>
        <w:rPr>
          <w:rFonts w:ascii="Times New Roman" w:hAnsi="Times New Roman" w:eastAsia="黑体"/>
          <w:snapToGrid w:val="0"/>
          <w:kern w:val="0"/>
          <w:sz w:val="32"/>
          <w:szCs w:val="32"/>
        </w:rPr>
        <w:t>风险评审小组全体成员应审核并确认评审结论</w:t>
      </w:r>
      <w:bookmarkEnd w:id="6"/>
    </w:p>
    <w:p>
      <w:pPr>
        <w:tabs>
          <w:tab w:val="left" w:pos="360"/>
          <w:tab w:val="left" w:pos="952"/>
          <w:tab w:val="left" w:pos="1078"/>
          <w:tab w:val="left" w:pos="1140"/>
        </w:tabs>
        <w:autoSpaceDE w:val="0"/>
        <w:autoSpaceDN w:val="0"/>
        <w:adjustRightInd w:val="0"/>
        <w:spacing w:line="540" w:lineRule="exact"/>
        <w:rPr>
          <w:rFonts w:eastAsia="仿宋_GB2312"/>
          <w:b/>
          <w:snapToGrid w:val="0"/>
          <w:kern w:val="0"/>
          <w:sz w:val="28"/>
          <w:szCs w:val="28"/>
        </w:rPr>
      </w:pPr>
    </w:p>
    <w:p>
      <w:pPr>
        <w:tabs>
          <w:tab w:val="left" w:pos="360"/>
          <w:tab w:val="left" w:pos="952"/>
          <w:tab w:val="left" w:pos="1078"/>
          <w:tab w:val="left" w:pos="1140"/>
        </w:tabs>
        <w:autoSpaceDE w:val="0"/>
        <w:autoSpaceDN w:val="0"/>
        <w:adjustRightInd w:val="0"/>
        <w:spacing w:line="540" w:lineRule="exact"/>
        <w:rPr>
          <w:rFonts w:eastAsia="仿宋_GB2312"/>
          <w:color w:val="000000"/>
          <w:kern w:val="0"/>
          <w:sz w:val="32"/>
          <w:szCs w:val="32"/>
        </w:rPr>
        <w:sectPr>
          <w:footerReference r:id="rId5" w:type="default"/>
          <w:footerReference r:id="rId6" w:type="even"/>
          <w:pgSz w:w="11906" w:h="16838"/>
          <w:pgMar w:top="1928" w:right="1531" w:bottom="1814" w:left="1531" w:header="851" w:footer="1247" w:gutter="0"/>
          <w:cols w:space="425" w:num="1"/>
          <w:docGrid w:type="lines" w:linePitch="312" w:charSpace="0"/>
        </w:sectPr>
      </w:pPr>
      <w:r>
        <w:rPr>
          <w:rFonts w:eastAsia="仿宋_GB2312"/>
          <w:b/>
          <w:snapToGrid w:val="0"/>
          <w:kern w:val="0"/>
          <w:sz w:val="28"/>
          <w:szCs w:val="28"/>
        </w:rPr>
        <w:br w:type="page"/>
      </w:r>
    </w:p>
    <w:p>
      <w:pPr>
        <w:overflowPunct w:val="0"/>
        <w:autoSpaceDE w:val="0"/>
        <w:autoSpaceDN w:val="0"/>
        <w:spacing w:line="560" w:lineRule="exact"/>
        <w:outlineLvl w:val="0"/>
        <w:rPr>
          <w:rFonts w:hint="default" w:ascii="黑体" w:hAnsi="黑体" w:eastAsia="黑体" w:cs="黑体"/>
          <w:snapToGrid w:val="0"/>
          <w:kern w:val="0"/>
          <w:sz w:val="32"/>
          <w:szCs w:val="32"/>
          <w:lang w:val="en-US" w:eastAsia="zh-CN"/>
        </w:rPr>
      </w:pPr>
      <w:r>
        <w:rPr>
          <w:rFonts w:hint="eastAsia" w:ascii="黑体" w:hAnsi="黑体" w:eastAsia="黑体" w:cs="黑体"/>
          <w:snapToGrid w:val="0"/>
          <w:kern w:val="0"/>
          <w:sz w:val="32"/>
          <w:szCs w:val="32"/>
          <w:lang w:eastAsia="zh-CN"/>
        </w:rPr>
        <w:t>附录</w:t>
      </w:r>
      <w:r>
        <w:rPr>
          <w:rFonts w:hint="eastAsia" w:ascii="黑体" w:hAnsi="黑体" w:eastAsia="黑体" w:cs="黑体"/>
          <w:snapToGrid w:val="0"/>
          <w:kern w:val="0"/>
          <w:sz w:val="32"/>
          <w:szCs w:val="32"/>
          <w:lang w:val="en-US" w:eastAsia="zh-CN"/>
        </w:rPr>
        <w:t>B</w:t>
      </w:r>
    </w:p>
    <w:p>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center"/>
        <w:textAlignment w:val="auto"/>
        <w:rPr>
          <w:rFonts w:hint="default" w:ascii="Times New Roman" w:hAnsi="Times New Roman" w:eastAsia="方正小标宋简体" w:cs="Times New Roman"/>
          <w:color w:val="000000"/>
          <w:sz w:val="44"/>
          <w:szCs w:val="44"/>
          <w:lang w:val="en-US" w:eastAsia="zh-CN"/>
        </w:rPr>
      </w:pPr>
      <w:r>
        <w:rPr>
          <w:rFonts w:hint="default" w:ascii="Times New Roman" w:hAnsi="Times New Roman" w:eastAsia="方正小标宋简体" w:cs="Times New Roman"/>
          <w:color w:val="000000"/>
          <w:sz w:val="44"/>
          <w:szCs w:val="44"/>
          <w:lang w:val="en-US" w:eastAsia="zh-CN"/>
        </w:rPr>
        <w:t>相关非医疗器械标准或资料</w:t>
      </w:r>
    </w:p>
    <w:p>
      <w:pPr>
        <w:spacing w:line="560" w:lineRule="exact"/>
        <w:rPr>
          <w:rFonts w:hint="default" w:ascii="Times New Roman" w:hAnsi="Times New Roman" w:eastAsia="仿宋" w:cs="Times New Roman"/>
          <w:color w:val="00000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630" w:leftChars="0"/>
        <w:textAlignment w:val="auto"/>
        <w:rPr>
          <w:rFonts w:hint="default" w:ascii="Times New Roman" w:hAnsi="Times New Roman" w:eastAsia="仿宋_GB2312" w:cs="Times New Roman"/>
          <w:color w:val="000000"/>
          <w:sz w:val="32"/>
          <w:szCs w:val="32"/>
          <w:lang w:val="en-US" w:eastAsia="zh-CN"/>
        </w:rPr>
      </w:pPr>
      <w:r>
        <w:rPr>
          <w:rFonts w:hint="eastAsia" w:eastAsia="仿宋_GB2312" w:cs="Times New Roman"/>
          <w:color w:val="000000"/>
          <w:sz w:val="32"/>
          <w:szCs w:val="32"/>
          <w:lang w:val="en-US" w:eastAsia="zh-CN"/>
        </w:rPr>
        <w:t xml:space="preserve">1. </w:t>
      </w:r>
      <w:r>
        <w:rPr>
          <w:rFonts w:hint="default" w:ascii="Times New Roman" w:hAnsi="Times New Roman" w:eastAsia="仿宋_GB2312" w:cs="Times New Roman"/>
          <w:color w:val="000000"/>
          <w:sz w:val="32"/>
          <w:szCs w:val="32"/>
          <w:lang w:val="en-US" w:eastAsia="zh-CN"/>
        </w:rPr>
        <w:t>GB/T 191《包装储运图示标志》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color w:val="000000"/>
          <w:sz w:val="32"/>
          <w:szCs w:val="32"/>
          <w:lang w:val="en-US" w:eastAsia="zh-CN"/>
        </w:rPr>
      </w:pPr>
      <w:r>
        <w:rPr>
          <w:rFonts w:hint="eastAsia"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lang w:val="en-US" w:eastAsia="zh-CN"/>
        </w:rPr>
        <w:t>《中华人民共和国药典》</w:t>
      </w:r>
    </w:p>
    <w:p>
      <w:pPr>
        <w:rPr>
          <w:rFonts w:hint="eastAsia"/>
          <w:lang w:eastAsia="zh-CN"/>
        </w:rPr>
      </w:pPr>
      <w:r>
        <w:rPr>
          <w:rFonts w:hint="eastAsia"/>
          <w:lang w:eastAsia="zh-CN"/>
        </w:rPr>
        <w:br w:type="page"/>
      </w:r>
    </w:p>
    <w:p>
      <w:pPr>
        <w:pStyle w:val="16"/>
        <w:bidi w:val="0"/>
        <w:rPr>
          <w:rFonts w:hint="eastAsia"/>
        </w:rPr>
      </w:pPr>
      <w:r>
        <w:rPr>
          <w:rFonts w:hint="eastAsia"/>
          <w:lang w:eastAsia="zh-CN"/>
        </w:rPr>
        <w:t>一次性使用手术帽</w:t>
      </w:r>
      <w:r>
        <w:rPr>
          <w:rFonts w:hint="eastAsia"/>
        </w:rPr>
        <w:t>产品注册技术审查指导原则</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编制说明</w:t>
      </w:r>
    </w:p>
    <w:p>
      <w:pPr>
        <w:spacing w:line="520" w:lineRule="exact"/>
        <w:jc w:val="center"/>
        <w:rPr>
          <w:rFonts w:hint="eastAsia" w:ascii="仿宋" w:hAnsi="仿宋" w:eastAsia="仿宋"/>
          <w:sz w:val="32"/>
          <w:szCs w:val="32"/>
        </w:rPr>
      </w:pPr>
    </w:p>
    <w:p>
      <w:pPr>
        <w:pStyle w:val="2"/>
        <w:bidi w:val="0"/>
        <w:rPr>
          <w:rFonts w:hint="eastAsia" w:ascii="黑体" w:hAnsi="黑体" w:eastAsia="黑体"/>
          <w:sz w:val="32"/>
          <w:szCs w:val="32"/>
        </w:rPr>
      </w:pPr>
      <w:r>
        <w:rPr>
          <w:rFonts w:hint="eastAsia" w:ascii="黑体" w:hAnsi="黑体" w:eastAsia="黑体"/>
          <w:sz w:val="32"/>
          <w:szCs w:val="32"/>
        </w:rPr>
        <w:t>一、</w:t>
      </w:r>
      <w:r>
        <w:rPr>
          <w:rFonts w:hint="eastAsia" w:ascii="黑体" w:hAnsi="宋体" w:eastAsia="黑体"/>
          <w:sz w:val="32"/>
          <w:szCs w:val="32"/>
        </w:rPr>
        <w:t>指导原则起草目的和背景</w:t>
      </w:r>
    </w:p>
    <w:p>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（一）本指导原则编写的目的是用于指导和规范第二类</w:t>
      </w:r>
      <w:r>
        <w:rPr>
          <w:rFonts w:hint="eastAsia" w:ascii="Times New Roman" w:hAnsi="Times New Roman" w:eastAsia="仿宋_GB2312" w:cs="Times New Roman"/>
          <w:color w:val="000000"/>
          <w:sz w:val="32"/>
          <w:szCs w:val="32"/>
          <w:lang w:eastAsia="zh-CN"/>
        </w:rPr>
        <w:t>一次性使用手术帽</w:t>
      </w:r>
      <w:r>
        <w:rPr>
          <w:rFonts w:hint="eastAsia" w:ascii="Times New Roman" w:hAnsi="Times New Roman" w:eastAsia="仿宋_GB2312" w:cs="Times New Roman"/>
          <w:color w:val="000000"/>
          <w:sz w:val="32"/>
          <w:szCs w:val="32"/>
        </w:rPr>
        <w:t>产品注册申报过程中审查人员对注册材料的技术审评。</w:t>
      </w:r>
    </w:p>
    <w:p>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二）本规范旨在让初次接触该类产品的注册审查人员对产品原理、结构、主要性能、预期用途等各个方面有个基本了解，同时让技术审查人员在产品注册技术审评时把握基本的尺度，对产品安全性、有效性作出系统评价。</w:t>
      </w:r>
    </w:p>
    <w:p>
      <w:pPr>
        <w:pStyle w:val="2"/>
        <w:bidi w:val="0"/>
        <w:rPr>
          <w:rFonts w:hint="eastAsia" w:ascii="黑体" w:hAnsi="黑体" w:eastAsia="黑体"/>
          <w:sz w:val="32"/>
          <w:szCs w:val="32"/>
        </w:rPr>
      </w:pPr>
      <w:r>
        <w:rPr>
          <w:rFonts w:hint="eastAsia" w:ascii="黑体" w:hAnsi="黑体" w:eastAsia="黑体"/>
          <w:sz w:val="32"/>
          <w:szCs w:val="32"/>
        </w:rPr>
        <w:t>二、</w:t>
      </w:r>
      <w:r>
        <w:rPr>
          <w:rFonts w:hint="eastAsia" w:ascii="黑体" w:hAnsi="宋体" w:eastAsia="黑体"/>
          <w:sz w:val="32"/>
          <w:szCs w:val="32"/>
        </w:rPr>
        <w:t>指导原则</w:t>
      </w:r>
      <w:r>
        <w:rPr>
          <w:rFonts w:hint="eastAsia" w:ascii="黑体" w:hAnsi="黑体" w:eastAsia="黑体"/>
          <w:sz w:val="32"/>
          <w:szCs w:val="32"/>
        </w:rPr>
        <w:t>编写的依据</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（一）《医疗器械监督管理条例》</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（二）《医疗器械注册与备案管理办法》</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（三）《医疗器械说明书和标签管理规定》</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（四）《医疗器械产品技术要求编写指导原则》</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（五）《免于临床评价医疗器械目录》</w:t>
      </w:r>
    </w:p>
    <w:p>
      <w:pPr>
        <w:pageBreakBefore w:val="0"/>
        <w:widowControl w:val="0"/>
        <w:numPr>
          <w:ilvl w:val="0"/>
          <w:numId w:val="0"/>
        </w:numPr>
        <w:kinsoku/>
        <w:wordWrap/>
        <w:topLinePunct w:val="0"/>
        <w:bidi w:val="0"/>
        <w:snapToGrid/>
        <w:spacing w:line="520" w:lineRule="exact"/>
        <w:ind w:firstLine="640" w:firstLineChars="200"/>
        <w:textAlignment w:val="auto"/>
        <w:rPr>
          <w:rFonts w:hint="eastAsia" w:ascii="Times New Roman" w:hAnsi="Times New Roman" w:eastAsia="仿宋_GB2312" w:cs="Times New Roman"/>
          <w:snapToGrid w:val="0"/>
          <w:kern w:val="0"/>
          <w:sz w:val="32"/>
          <w:szCs w:val="32"/>
          <w:lang w:val="en-US" w:eastAsia="zh-CN" w:bidi="ar-SA"/>
        </w:rPr>
      </w:pPr>
      <w:r>
        <w:rPr>
          <w:rFonts w:hint="eastAsia" w:ascii="Times New Roman" w:hAnsi="Times New Roman" w:eastAsia="仿宋_GB2312" w:cs="Times New Roman"/>
          <w:snapToGrid w:val="0"/>
          <w:kern w:val="0"/>
          <w:sz w:val="32"/>
          <w:szCs w:val="32"/>
          <w:lang w:val="en-US" w:eastAsia="zh-CN" w:bidi="ar-SA"/>
        </w:rPr>
        <w:t>（六）国家药品监督管理部门发布的其他规范性文件</w:t>
      </w:r>
    </w:p>
    <w:p>
      <w:pPr>
        <w:pStyle w:val="2"/>
        <w:bidi w:val="0"/>
        <w:rPr>
          <w:rFonts w:hint="eastAsia" w:ascii="黑体" w:hAnsi="黑体" w:eastAsia="黑体"/>
          <w:sz w:val="32"/>
          <w:szCs w:val="32"/>
        </w:rPr>
      </w:pPr>
      <w:r>
        <w:rPr>
          <w:rFonts w:hint="eastAsia" w:ascii="黑体" w:hAnsi="黑体" w:eastAsia="黑体"/>
          <w:sz w:val="32"/>
          <w:szCs w:val="32"/>
        </w:rPr>
        <w:t>三、</w:t>
      </w:r>
      <w:r>
        <w:rPr>
          <w:rFonts w:hint="eastAsia" w:ascii="黑体" w:hAnsi="宋体" w:eastAsia="黑体"/>
          <w:sz w:val="32"/>
          <w:szCs w:val="32"/>
        </w:rPr>
        <w:t>指导原则</w:t>
      </w:r>
      <w:r>
        <w:rPr>
          <w:rFonts w:hint="eastAsia" w:ascii="黑体" w:hAnsi="黑体" w:eastAsia="黑体"/>
          <w:sz w:val="32"/>
          <w:szCs w:val="32"/>
        </w:rPr>
        <w:t>中重点内容说明</w:t>
      </w:r>
    </w:p>
    <w:p>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（一）根据《医疗器械分类目录》、《医疗器械分类规则》</w:t>
      </w:r>
      <w:r>
        <w:rPr>
          <w:rFonts w:hint="eastAsia"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确定了</w:t>
      </w:r>
      <w:r>
        <w:rPr>
          <w:rFonts w:hint="eastAsia" w:ascii="Times New Roman" w:hAnsi="Times New Roman" w:eastAsia="仿宋_GB2312" w:cs="Times New Roman"/>
          <w:color w:val="000000"/>
          <w:sz w:val="32"/>
          <w:szCs w:val="32"/>
          <w:lang w:eastAsia="zh-CN"/>
        </w:rPr>
        <w:t>一次性使用手术帽产品</w:t>
      </w:r>
      <w:r>
        <w:rPr>
          <w:rFonts w:hint="eastAsia" w:ascii="Times New Roman" w:hAnsi="Times New Roman" w:eastAsia="仿宋_GB2312" w:cs="Times New Roman"/>
          <w:color w:val="000000"/>
          <w:sz w:val="32"/>
          <w:szCs w:val="32"/>
        </w:rPr>
        <w:t>的管理类别并参考专家意见确定了适用范围。</w:t>
      </w:r>
    </w:p>
    <w:p>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三）根据产品注册要求，明确了产品研究资料部分，包括产品性能研究、生物相容性评价研究、灭菌工艺研究、产品包装和有效期研究；明确了产品生产工艺过程，及过程质量控制点；明确了产品的临床评价细化要求。</w:t>
      </w:r>
    </w:p>
    <w:p>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（四）产品的主要风险参照YY/T 0316中附录E进行。</w:t>
      </w:r>
    </w:p>
    <w:p>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（五）企业生产制造应满足法规、质量管理体系的要求。</w:t>
      </w:r>
    </w:p>
    <w:p>
      <w:pPr>
        <w:pStyle w:val="2"/>
        <w:bidi w:val="0"/>
        <w:ind w:left="0" w:leftChars="0" w:firstLine="640" w:firstLineChars="200"/>
        <w:rPr>
          <w:rFonts w:hint="eastAsia"/>
        </w:rPr>
      </w:pPr>
      <w:r>
        <w:rPr>
          <w:rFonts w:hint="eastAsia"/>
        </w:rPr>
        <w:t>四、指导原则编写单位</w:t>
      </w:r>
    </w:p>
    <w:p>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河南省食品药品审评查验中心</w:t>
      </w:r>
    </w:p>
    <w:sectPr>
      <w:pgSz w:w="11906" w:h="16838"/>
      <w:pgMar w:top="1928" w:right="1531" w:bottom="1814" w:left="1531" w:header="851" w:footer="124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MS Shell Dlg">
    <w:altName w:val="Microsoft Sans Serif"/>
    <w:panose1 w:val="020B0604020202020204"/>
    <w:charset w:val="00"/>
    <w:family w:val="swiss"/>
    <w:pitch w:val="default"/>
    <w:sig w:usb0="00000000" w:usb1="00000000" w:usb2="00000008" w:usb3="00000000" w:csb0="000101FF" w:csb1="00000000"/>
  </w:font>
  <w:font w:name="Microsoft Sans Serif">
    <w:panose1 w:val="020B0604020202020204"/>
    <w:charset w:val="00"/>
    <w:family w:val="auto"/>
    <w:pitch w:val="default"/>
    <w:sig w:usb0="E1002AFF" w:usb1="C0000002" w:usb2="00000008" w:usb3="00000000" w:csb0="200101FF" w:csb1="20280000"/>
  </w:font>
  <w:font w:name="Ligature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_x0000_s2052" o:spid="_x0000_s2052"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12"/>
                  <w:rPr>
                    <w:rFonts w:hint="eastAsia"/>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- 4 -</w:t>
                </w:r>
                <w:r>
                  <w:rPr>
                    <w:rFonts w:hint="eastAsia" w:ascii="宋体" w:hAnsi="宋体" w:cs="宋体"/>
                    <w:sz w:val="28"/>
                    <w:szCs w:val="2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left" w:pos="973"/>
        <w:tab w:val="clear" w:pos="4153"/>
      </w:tabs>
      <w:rPr>
        <w:rFonts w:hint="eastAsia"/>
      </w:rPr>
    </w:pPr>
    <w:r>
      <w:pict>
        <v:shape id="_x0000_s2049" o:spid="_x0000_s2049"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2"/>
                  <w:rPr>
                    <w:rFonts w:hint="eastAsia"/>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- 1 -</w:t>
                </w:r>
                <w:r>
                  <w:rPr>
                    <w:rFonts w:hint="eastAsia"/>
                    <w:sz w:val="24"/>
                  </w:rPr>
                  <w:fldChar w:fldCharType="end"/>
                </w:r>
              </w:p>
            </w:txbxContent>
          </v:textbox>
        </v:shape>
      </w:pict>
    </w:r>
    <w:r>
      <w:pict>
        <v:shape id="_x0000_s2050" o:spid="_x0000_s2050" o:spt="202" type="#_x0000_t202" style="position:absolute;left:0pt;margin-top:0pt;height:144pt;width:144pt;mso-position-horizontal:outside;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pPr>
                  <w:rPr>
                    <w:rFonts w:hint="eastAsia"/>
                  </w:rPr>
                </w:pPr>
              </w:p>
            </w:txbxContent>
          </v:textbox>
        </v:shape>
      </w:pict>
    </w:r>
    <w:r>
      <w:pict>
        <v:shape id="_x0000_s2051" o:spid="_x0000_s2051" o:spt="202" type="#_x0000_t202" style="position:absolute;left:0pt;margin-top:0pt;height:144pt;width:144pt;mso-position-horizontal:outside;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12"/>
                  <w:rPr>
                    <w:rFonts w:hint="eastAsia"/>
                  </w:rPr>
                </w:pPr>
              </w:p>
            </w:txbxContent>
          </v:textbox>
        </v:shape>
      </w:pic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wordWrap w:val="0"/>
      <w:jc w:val="right"/>
      <w:rPr>
        <w:sz w:val="28"/>
        <w:szCs w:val="28"/>
      </w:rPr>
    </w:pPr>
    <w:r>
      <w:rPr>
        <w:rFonts w:hint="eastAsia"/>
        <w:sz w:val="28"/>
        <w:szCs w:val="28"/>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16</w:t>
    </w:r>
    <w:r>
      <w:rPr>
        <w:sz w:val="28"/>
        <w:szCs w:val="28"/>
      </w:rPr>
      <w:fldChar w:fldCharType="end"/>
    </w:r>
    <w:r>
      <w:rPr>
        <w:rFonts w:hint="eastAsia"/>
        <w:sz w:val="28"/>
        <w:szCs w:val="28"/>
      </w:rPr>
      <w:t>—</w:t>
    </w:r>
    <w:r>
      <w:rPr>
        <w:rFonts w:hint="eastAsia"/>
        <w:color w:val="FFFFFF"/>
        <w:sz w:val="28"/>
        <w:szCs w:val="28"/>
      </w:rPr>
      <w:t>—</w:t>
    </w:r>
  </w:p>
  <w:p>
    <w:pPr>
      <w:pStyle w:val="12"/>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sz w:val="28"/>
        <w:szCs w:val="28"/>
      </w:rPr>
    </w:pPr>
    <w:r>
      <w:rPr>
        <w:rFonts w:hint="eastAsia"/>
        <w:color w:val="FFFFFF"/>
        <w:sz w:val="28"/>
        <w:szCs w:val="28"/>
      </w:rPr>
      <w:t>—</w:t>
    </w:r>
    <w:r>
      <w:rPr>
        <w:rFonts w:hint="eastAsia"/>
        <w:sz w:val="28"/>
        <w:szCs w:val="28"/>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4</w:t>
    </w:r>
    <w:r>
      <w:rPr>
        <w:sz w:val="28"/>
        <w:szCs w:val="28"/>
      </w:rPr>
      <w:fldChar w:fldCharType="end"/>
    </w:r>
    <w:r>
      <w:rPr>
        <w:rFonts w:hint="eastAsia"/>
        <w:sz w:val="28"/>
        <w:szCs w:val="28"/>
      </w:rPr>
      <w:t>—</w:t>
    </w:r>
  </w:p>
  <w:p>
    <w:pPr>
      <w:pStyle w:val="12"/>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0C2FF9"/>
    <w:multiLevelType w:val="singleLevel"/>
    <w:tmpl w:val="F80C2FF9"/>
    <w:lvl w:ilvl="0" w:tentative="0">
      <w:start w:val="3"/>
      <w:numFmt w:val="chineseCounting"/>
      <w:suff w:val="nothing"/>
      <w:lvlText w:val="（%1）"/>
      <w:lvlJc w:val="left"/>
      <w:rPr>
        <w:rFonts w:hint="eastAsia"/>
      </w:rPr>
    </w:lvl>
  </w:abstractNum>
  <w:abstractNum w:abstractNumId="1">
    <w:nsid w:val="542674C4"/>
    <w:multiLevelType w:val="multilevel"/>
    <w:tmpl w:val="542674C4"/>
    <w:lvl w:ilvl="0" w:tentative="0">
      <w:start w:val="1"/>
      <w:numFmt w:val="chineseCountingThousand"/>
      <w:suff w:val="nothing"/>
      <w:lvlText w:val="%1、"/>
      <w:lvlJc w:val="left"/>
      <w:pPr>
        <w:ind w:left="1060" w:hanging="420"/>
      </w:pPr>
      <w:rPr>
        <w:rFonts w:hint="eastAsia" w:eastAsia="黑体"/>
        <w:sz w:val="32"/>
      </w:rPr>
    </w:lvl>
    <w:lvl w:ilvl="1" w:tentative="0">
      <w:start w:val="1"/>
      <w:numFmt w:val="japaneseCounting"/>
      <w:lvlText w:val="（%2）"/>
      <w:lvlJc w:val="left"/>
      <w:pPr>
        <w:ind w:left="2140" w:hanging="1080"/>
      </w:pPr>
      <w:rPr>
        <w:rFonts w:hint="default" w:eastAsia="楷体_GB2312"/>
      </w:r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65CFF592"/>
    <w:multiLevelType w:val="singleLevel"/>
    <w:tmpl w:val="65CFF592"/>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E67B0"/>
    <w:rsid w:val="00063F44"/>
    <w:rsid w:val="00124240"/>
    <w:rsid w:val="001770C8"/>
    <w:rsid w:val="00206AD4"/>
    <w:rsid w:val="00570558"/>
    <w:rsid w:val="00673060"/>
    <w:rsid w:val="008A03AD"/>
    <w:rsid w:val="009251D0"/>
    <w:rsid w:val="00AE67B0"/>
    <w:rsid w:val="00C7342F"/>
    <w:rsid w:val="00E013DA"/>
    <w:rsid w:val="017130E4"/>
    <w:rsid w:val="0212061A"/>
    <w:rsid w:val="0421468E"/>
    <w:rsid w:val="04992649"/>
    <w:rsid w:val="04AC1588"/>
    <w:rsid w:val="04B9011A"/>
    <w:rsid w:val="04D67B02"/>
    <w:rsid w:val="059B7E3D"/>
    <w:rsid w:val="07076E2F"/>
    <w:rsid w:val="07931D5C"/>
    <w:rsid w:val="07D03742"/>
    <w:rsid w:val="08041C31"/>
    <w:rsid w:val="08197B83"/>
    <w:rsid w:val="085A341C"/>
    <w:rsid w:val="088D3AD1"/>
    <w:rsid w:val="0A13351F"/>
    <w:rsid w:val="0A452A8A"/>
    <w:rsid w:val="0A8214C9"/>
    <w:rsid w:val="0AF65DA7"/>
    <w:rsid w:val="0BD139C0"/>
    <w:rsid w:val="0C736DF9"/>
    <w:rsid w:val="0D810FE7"/>
    <w:rsid w:val="0D972405"/>
    <w:rsid w:val="0DF82B65"/>
    <w:rsid w:val="0E1F16F0"/>
    <w:rsid w:val="0E571744"/>
    <w:rsid w:val="0F031635"/>
    <w:rsid w:val="0F856D88"/>
    <w:rsid w:val="0F9D5360"/>
    <w:rsid w:val="10286820"/>
    <w:rsid w:val="1071298A"/>
    <w:rsid w:val="108A4E0D"/>
    <w:rsid w:val="10DF77BC"/>
    <w:rsid w:val="11261E90"/>
    <w:rsid w:val="11640B14"/>
    <w:rsid w:val="13AF1558"/>
    <w:rsid w:val="13CD2309"/>
    <w:rsid w:val="13FF7BE2"/>
    <w:rsid w:val="14674C12"/>
    <w:rsid w:val="148E6052"/>
    <w:rsid w:val="149A4C5D"/>
    <w:rsid w:val="158F41A7"/>
    <w:rsid w:val="16124DD3"/>
    <w:rsid w:val="169C563F"/>
    <w:rsid w:val="17582EF0"/>
    <w:rsid w:val="17A16A5A"/>
    <w:rsid w:val="17AD3985"/>
    <w:rsid w:val="17C21163"/>
    <w:rsid w:val="182307F3"/>
    <w:rsid w:val="18397531"/>
    <w:rsid w:val="18751116"/>
    <w:rsid w:val="19E0289B"/>
    <w:rsid w:val="1A2E5F43"/>
    <w:rsid w:val="1A635601"/>
    <w:rsid w:val="1AFC5ED5"/>
    <w:rsid w:val="1B2A7B55"/>
    <w:rsid w:val="1B385E3D"/>
    <w:rsid w:val="1C3F5E21"/>
    <w:rsid w:val="1CFC387B"/>
    <w:rsid w:val="1D272E50"/>
    <w:rsid w:val="1D2A7C41"/>
    <w:rsid w:val="1E006F8C"/>
    <w:rsid w:val="1E6D6E4A"/>
    <w:rsid w:val="1E72771E"/>
    <w:rsid w:val="1EA64DCB"/>
    <w:rsid w:val="1EC672B5"/>
    <w:rsid w:val="1ECD0A05"/>
    <w:rsid w:val="1FCA227A"/>
    <w:rsid w:val="202D57A2"/>
    <w:rsid w:val="20F63EC2"/>
    <w:rsid w:val="2149369B"/>
    <w:rsid w:val="2157108C"/>
    <w:rsid w:val="22206769"/>
    <w:rsid w:val="225E6197"/>
    <w:rsid w:val="22F01DBB"/>
    <w:rsid w:val="24AB4B28"/>
    <w:rsid w:val="24BB1E1C"/>
    <w:rsid w:val="24F81439"/>
    <w:rsid w:val="2538582E"/>
    <w:rsid w:val="253B1569"/>
    <w:rsid w:val="261C0B0F"/>
    <w:rsid w:val="262564A4"/>
    <w:rsid w:val="27087F8D"/>
    <w:rsid w:val="276E6F9E"/>
    <w:rsid w:val="27B42798"/>
    <w:rsid w:val="27EF67B8"/>
    <w:rsid w:val="28D87726"/>
    <w:rsid w:val="29B50DE5"/>
    <w:rsid w:val="2AB861D5"/>
    <w:rsid w:val="2B010565"/>
    <w:rsid w:val="2BAE056F"/>
    <w:rsid w:val="2C106780"/>
    <w:rsid w:val="2C4855DC"/>
    <w:rsid w:val="2CD24847"/>
    <w:rsid w:val="2D36088D"/>
    <w:rsid w:val="2D3A7708"/>
    <w:rsid w:val="2DC31982"/>
    <w:rsid w:val="2E392DF2"/>
    <w:rsid w:val="2E827A3A"/>
    <w:rsid w:val="2ED10F5B"/>
    <w:rsid w:val="2EDD65F0"/>
    <w:rsid w:val="2F496D2C"/>
    <w:rsid w:val="2F551597"/>
    <w:rsid w:val="2F6D7761"/>
    <w:rsid w:val="2FE31432"/>
    <w:rsid w:val="301E35FB"/>
    <w:rsid w:val="309D368D"/>
    <w:rsid w:val="30D17D42"/>
    <w:rsid w:val="31000666"/>
    <w:rsid w:val="33C54868"/>
    <w:rsid w:val="34336581"/>
    <w:rsid w:val="350159F2"/>
    <w:rsid w:val="36334E58"/>
    <w:rsid w:val="36A92CA7"/>
    <w:rsid w:val="377F73A9"/>
    <w:rsid w:val="38065195"/>
    <w:rsid w:val="384F5C81"/>
    <w:rsid w:val="38A2038C"/>
    <w:rsid w:val="38D14280"/>
    <w:rsid w:val="38EC3654"/>
    <w:rsid w:val="390C7234"/>
    <w:rsid w:val="39557C25"/>
    <w:rsid w:val="395F262D"/>
    <w:rsid w:val="39B508E7"/>
    <w:rsid w:val="39C15944"/>
    <w:rsid w:val="3A1F12DC"/>
    <w:rsid w:val="3A1F3FB6"/>
    <w:rsid w:val="3A9A09D7"/>
    <w:rsid w:val="3C0670EF"/>
    <w:rsid w:val="3C8F3CCC"/>
    <w:rsid w:val="3E025D53"/>
    <w:rsid w:val="3E8F5297"/>
    <w:rsid w:val="3EA82AF3"/>
    <w:rsid w:val="3EB635FF"/>
    <w:rsid w:val="40071CEF"/>
    <w:rsid w:val="402B2BC7"/>
    <w:rsid w:val="40494DB7"/>
    <w:rsid w:val="40CB2454"/>
    <w:rsid w:val="414F406C"/>
    <w:rsid w:val="429006A9"/>
    <w:rsid w:val="42A21A2C"/>
    <w:rsid w:val="431C79F2"/>
    <w:rsid w:val="43AE1ECB"/>
    <w:rsid w:val="43CD0965"/>
    <w:rsid w:val="43DF31AC"/>
    <w:rsid w:val="44E5426F"/>
    <w:rsid w:val="45241411"/>
    <w:rsid w:val="45244682"/>
    <w:rsid w:val="465A411A"/>
    <w:rsid w:val="46CD2952"/>
    <w:rsid w:val="46F15D39"/>
    <w:rsid w:val="47646DEA"/>
    <w:rsid w:val="4786734F"/>
    <w:rsid w:val="480D59A5"/>
    <w:rsid w:val="49284D34"/>
    <w:rsid w:val="49B61BE6"/>
    <w:rsid w:val="49E84E92"/>
    <w:rsid w:val="4AD02D98"/>
    <w:rsid w:val="4B291841"/>
    <w:rsid w:val="4C6C35C8"/>
    <w:rsid w:val="4CF72322"/>
    <w:rsid w:val="4D285F6B"/>
    <w:rsid w:val="4D620BA5"/>
    <w:rsid w:val="4DE43D30"/>
    <w:rsid w:val="4E4C2E8B"/>
    <w:rsid w:val="4E537E31"/>
    <w:rsid w:val="4F030867"/>
    <w:rsid w:val="4FCD49C1"/>
    <w:rsid w:val="4FEA3B16"/>
    <w:rsid w:val="50DA1D30"/>
    <w:rsid w:val="512E070A"/>
    <w:rsid w:val="51541A54"/>
    <w:rsid w:val="5156143B"/>
    <w:rsid w:val="519673E6"/>
    <w:rsid w:val="52312CF2"/>
    <w:rsid w:val="52813C76"/>
    <w:rsid w:val="528A01CD"/>
    <w:rsid w:val="53454757"/>
    <w:rsid w:val="53701192"/>
    <w:rsid w:val="54647E22"/>
    <w:rsid w:val="5480593A"/>
    <w:rsid w:val="548F15E1"/>
    <w:rsid w:val="54E53C18"/>
    <w:rsid w:val="54F11779"/>
    <w:rsid w:val="55C07D80"/>
    <w:rsid w:val="56163C9A"/>
    <w:rsid w:val="5663747D"/>
    <w:rsid w:val="57483276"/>
    <w:rsid w:val="581B2D39"/>
    <w:rsid w:val="582F0D1D"/>
    <w:rsid w:val="5868272F"/>
    <w:rsid w:val="588072F9"/>
    <w:rsid w:val="588F6E32"/>
    <w:rsid w:val="59893513"/>
    <w:rsid w:val="59AD4924"/>
    <w:rsid w:val="59E6515D"/>
    <w:rsid w:val="5A6045CE"/>
    <w:rsid w:val="5B453564"/>
    <w:rsid w:val="5BA11046"/>
    <w:rsid w:val="5BF500BA"/>
    <w:rsid w:val="5C330A90"/>
    <w:rsid w:val="5CCF29D2"/>
    <w:rsid w:val="5D334DF4"/>
    <w:rsid w:val="5DA3445C"/>
    <w:rsid w:val="5DC07F62"/>
    <w:rsid w:val="5E6547A6"/>
    <w:rsid w:val="5E6B5710"/>
    <w:rsid w:val="5E817A96"/>
    <w:rsid w:val="5E877A81"/>
    <w:rsid w:val="5EA42319"/>
    <w:rsid w:val="5F336E1C"/>
    <w:rsid w:val="5F456C37"/>
    <w:rsid w:val="6067739C"/>
    <w:rsid w:val="610B017B"/>
    <w:rsid w:val="618568BE"/>
    <w:rsid w:val="61884D49"/>
    <w:rsid w:val="62CD1749"/>
    <w:rsid w:val="63330837"/>
    <w:rsid w:val="63515008"/>
    <w:rsid w:val="641250C9"/>
    <w:rsid w:val="645D4B25"/>
    <w:rsid w:val="64E763BE"/>
    <w:rsid w:val="659A65AE"/>
    <w:rsid w:val="666A4F3D"/>
    <w:rsid w:val="66BF4173"/>
    <w:rsid w:val="674F10F0"/>
    <w:rsid w:val="67D97296"/>
    <w:rsid w:val="67E3745E"/>
    <w:rsid w:val="67ED7B8D"/>
    <w:rsid w:val="684372D0"/>
    <w:rsid w:val="69EB39A9"/>
    <w:rsid w:val="6AE70572"/>
    <w:rsid w:val="6B860C3D"/>
    <w:rsid w:val="6C717DC8"/>
    <w:rsid w:val="6C980573"/>
    <w:rsid w:val="6D1A329E"/>
    <w:rsid w:val="6E0239DF"/>
    <w:rsid w:val="6E646CBB"/>
    <w:rsid w:val="6E8422F1"/>
    <w:rsid w:val="6F450A7C"/>
    <w:rsid w:val="6FCF30A1"/>
    <w:rsid w:val="70FC56EE"/>
    <w:rsid w:val="711443D7"/>
    <w:rsid w:val="71E16AFE"/>
    <w:rsid w:val="72510AB1"/>
    <w:rsid w:val="725D7A8E"/>
    <w:rsid w:val="72BC1852"/>
    <w:rsid w:val="735C2CA0"/>
    <w:rsid w:val="73F21F3B"/>
    <w:rsid w:val="744532D1"/>
    <w:rsid w:val="751A0842"/>
    <w:rsid w:val="75715F7A"/>
    <w:rsid w:val="75B836A6"/>
    <w:rsid w:val="75DF2A94"/>
    <w:rsid w:val="75FE5CDD"/>
    <w:rsid w:val="77B60E6B"/>
    <w:rsid w:val="77C95300"/>
    <w:rsid w:val="77F46002"/>
    <w:rsid w:val="78091F31"/>
    <w:rsid w:val="78683EA2"/>
    <w:rsid w:val="78DD216B"/>
    <w:rsid w:val="79A61901"/>
    <w:rsid w:val="79CD53F1"/>
    <w:rsid w:val="7AA43AB8"/>
    <w:rsid w:val="7BC10238"/>
    <w:rsid w:val="7BDC1DDF"/>
    <w:rsid w:val="7BF16D69"/>
    <w:rsid w:val="7BF87296"/>
    <w:rsid w:val="7CAF60EE"/>
    <w:rsid w:val="7CFF315E"/>
    <w:rsid w:val="7D70484D"/>
    <w:rsid w:val="7E4747EE"/>
    <w:rsid w:val="7E885F3E"/>
    <w:rsid w:val="7ED942AA"/>
    <w:rsid w:val="7F7B464B"/>
    <w:rsid w:val="7FEE10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keepLines/>
      <w:spacing w:line="520" w:lineRule="exact"/>
      <w:ind w:leftChars="300"/>
      <w:jc w:val="left"/>
      <w:outlineLvl w:val="0"/>
    </w:pPr>
    <w:rPr>
      <w:rFonts w:ascii="Calibri" w:hAnsi="Calibri" w:eastAsia="黑体" w:cs="Calibri"/>
      <w:bCs/>
      <w:kern w:val="44"/>
      <w:sz w:val="32"/>
      <w:szCs w:val="44"/>
    </w:rPr>
  </w:style>
  <w:style w:type="paragraph" w:styleId="3">
    <w:name w:val="heading 2"/>
    <w:basedOn w:val="1"/>
    <w:next w:val="1"/>
    <w:unhideWhenUsed/>
    <w:qFormat/>
    <w:uiPriority w:val="9"/>
    <w:pPr>
      <w:keepNext/>
      <w:keepLines/>
      <w:spacing w:beforeLines="0" w:beforeAutospacing="0" w:afterLines="0" w:afterAutospacing="0" w:line="520" w:lineRule="exact"/>
      <w:ind w:left="0" w:leftChars="200"/>
      <w:jc w:val="left"/>
      <w:outlineLvl w:val="1"/>
    </w:pPr>
    <w:rPr>
      <w:rFonts w:ascii="Arial" w:hAnsi="Arial" w:eastAsia="楷体"/>
      <w:sz w:val="32"/>
    </w:rPr>
  </w:style>
  <w:style w:type="paragraph" w:styleId="4">
    <w:name w:val="heading 3"/>
    <w:basedOn w:val="1"/>
    <w:next w:val="2"/>
    <w:unhideWhenUsed/>
    <w:qFormat/>
    <w:uiPriority w:val="9"/>
    <w:pPr>
      <w:spacing w:beforeAutospacing="0" w:after="0" w:afterAutospacing="0" w:line="520" w:lineRule="exact"/>
      <w:ind w:leftChars="300"/>
      <w:jc w:val="left"/>
      <w:outlineLvl w:val="2"/>
    </w:pPr>
    <w:rPr>
      <w:rFonts w:hint="eastAsia" w:ascii="宋体" w:hAnsi="宋体" w:eastAsia="仿宋" w:cs="宋体"/>
      <w:kern w:val="0"/>
      <w:sz w:val="32"/>
      <w:szCs w:val="27"/>
      <w:lang w:bidi="ar"/>
    </w:rPr>
  </w:style>
  <w:style w:type="paragraph" w:styleId="5">
    <w:name w:val="heading 4"/>
    <w:basedOn w:val="1"/>
    <w:next w:val="1"/>
    <w:unhideWhenUsed/>
    <w:qFormat/>
    <w:uiPriority w:val="9"/>
    <w:pPr>
      <w:keepNext/>
      <w:keepLines/>
      <w:spacing w:beforeLines="0" w:beforeAutospacing="0" w:afterLines="0" w:afterAutospacing="0" w:line="520" w:lineRule="exact"/>
      <w:ind w:firstLine="880" w:firstLineChars="200"/>
      <w:outlineLvl w:val="3"/>
    </w:pPr>
    <w:rPr>
      <w:rFonts w:ascii="Arial" w:hAnsi="Arial" w:eastAsia="仿宋"/>
      <w:sz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29"/>
    <w:semiHidden/>
    <w:qFormat/>
    <w:uiPriority w:val="0"/>
    <w:pPr>
      <w:shd w:val="clear" w:color="auto" w:fill="000080"/>
    </w:pPr>
  </w:style>
  <w:style w:type="paragraph" w:styleId="7">
    <w:name w:val="annotation text"/>
    <w:basedOn w:val="1"/>
    <w:semiHidden/>
    <w:qFormat/>
    <w:uiPriority w:val="0"/>
    <w:pPr>
      <w:jc w:val="left"/>
    </w:pPr>
  </w:style>
  <w:style w:type="paragraph" w:styleId="8">
    <w:name w:val="Plain Text"/>
    <w:basedOn w:val="1"/>
    <w:link w:val="32"/>
    <w:unhideWhenUsed/>
    <w:qFormat/>
    <w:uiPriority w:val="99"/>
    <w:rPr>
      <w:rFonts w:ascii="宋体" w:hAnsi="宋体" w:eastAsia="仿宋_GB2312"/>
      <w:kern w:val="0"/>
      <w:sz w:val="28"/>
      <w:szCs w:val="21"/>
    </w:rPr>
  </w:style>
  <w:style w:type="paragraph" w:styleId="9">
    <w:name w:val="Body Text Indent 2"/>
    <w:basedOn w:val="1"/>
    <w:next w:val="10"/>
    <w:qFormat/>
    <w:uiPriority w:val="0"/>
    <w:pPr>
      <w:adjustRightInd/>
      <w:snapToGrid/>
      <w:spacing w:after="0" w:line="320" w:lineRule="exact"/>
      <w:ind w:firstLine="0" w:firstLineChars="0"/>
      <w:jc w:val="both"/>
    </w:pPr>
    <w:rPr>
      <w:rFonts w:ascii="宋体" w:hAnsi="宋体" w:cs="宋体"/>
      <w:color w:val="000000"/>
      <w:kern w:val="1"/>
      <w:sz w:val="21"/>
      <w:szCs w:val="28"/>
    </w:rPr>
  </w:style>
  <w:style w:type="paragraph" w:styleId="10">
    <w:name w:val="Body Text 2"/>
    <w:basedOn w:val="1"/>
    <w:qFormat/>
    <w:uiPriority w:val="0"/>
    <w:pPr>
      <w:spacing w:after="120" w:afterLines="0" w:afterAutospacing="0" w:line="480" w:lineRule="auto"/>
    </w:pPr>
  </w:style>
  <w:style w:type="paragraph" w:styleId="11">
    <w:name w:val="Balloon Text"/>
    <w:basedOn w:val="1"/>
    <w:link w:val="37"/>
    <w:qFormat/>
    <w:uiPriority w:val="0"/>
    <w:rPr>
      <w:sz w:val="18"/>
      <w:szCs w:val="18"/>
    </w:rPr>
  </w:style>
  <w:style w:type="paragraph" w:styleId="12">
    <w:name w:val="footer"/>
    <w:basedOn w:val="1"/>
    <w:link w:val="28"/>
    <w:unhideWhenUsed/>
    <w:qFormat/>
    <w:uiPriority w:val="99"/>
    <w:pPr>
      <w:tabs>
        <w:tab w:val="center" w:pos="4153"/>
        <w:tab w:val="right" w:pos="8306"/>
      </w:tabs>
      <w:snapToGrid w:val="0"/>
      <w:jc w:val="left"/>
    </w:pPr>
    <w:rPr>
      <w:sz w:val="18"/>
      <w:szCs w:val="18"/>
    </w:rPr>
  </w:style>
  <w:style w:type="paragraph" w:styleId="13">
    <w:name w:val="header"/>
    <w:basedOn w:val="1"/>
    <w:link w:val="27"/>
    <w:unhideWhenUsed/>
    <w:qFormat/>
    <w:uiPriority w:val="0"/>
    <w:pPr>
      <w:pBdr>
        <w:bottom w:val="single" w:color="auto" w:sz="6" w:space="1"/>
      </w:pBdr>
      <w:tabs>
        <w:tab w:val="center" w:pos="4153"/>
        <w:tab w:val="right" w:pos="8306"/>
      </w:tabs>
      <w:snapToGrid w:val="0"/>
      <w:jc w:val="center"/>
    </w:pPr>
    <w:rPr>
      <w:sz w:val="18"/>
      <w:szCs w:val="18"/>
    </w:rPr>
  </w:style>
  <w:style w:type="paragraph" w:styleId="14">
    <w:name w:val="Subtitle"/>
    <w:basedOn w:val="1"/>
    <w:next w:val="1"/>
    <w:link w:val="31"/>
    <w:qFormat/>
    <w:uiPriority w:val="11"/>
    <w:pPr>
      <w:spacing w:before="240" w:after="60" w:line="312" w:lineRule="auto"/>
      <w:jc w:val="center"/>
      <w:outlineLvl w:val="1"/>
    </w:pPr>
    <w:rPr>
      <w:rFonts w:ascii="Cambria" w:hAnsi="Cambria"/>
      <w:b/>
      <w:bCs/>
      <w:kern w:val="28"/>
      <w:sz w:val="32"/>
      <w:szCs w:val="32"/>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Title"/>
    <w:basedOn w:val="1"/>
    <w:next w:val="1"/>
    <w:link w:val="26"/>
    <w:qFormat/>
    <w:uiPriority w:val="10"/>
    <w:pPr>
      <w:spacing w:line="520" w:lineRule="exact"/>
      <w:jc w:val="center"/>
      <w:outlineLvl w:val="0"/>
    </w:pPr>
    <w:rPr>
      <w:rFonts w:ascii="Cambria" w:hAnsi="Cambria" w:eastAsia="方正小标宋简体"/>
      <w:bCs/>
      <w:sz w:val="44"/>
      <w:szCs w:val="32"/>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rPr>
  </w:style>
  <w:style w:type="character" w:styleId="21">
    <w:name w:val="page number"/>
    <w:basedOn w:val="19"/>
    <w:qFormat/>
    <w:uiPriority w:val="0"/>
  </w:style>
  <w:style w:type="character" w:styleId="22">
    <w:name w:val="FollowedHyperlink"/>
    <w:basedOn w:val="19"/>
    <w:semiHidden/>
    <w:unhideWhenUsed/>
    <w:qFormat/>
    <w:uiPriority w:val="99"/>
    <w:rPr>
      <w:rFonts w:hint="eastAsia" w:ascii="微软雅黑" w:hAnsi="微软雅黑" w:eastAsia="微软雅黑" w:cs="微软雅黑"/>
      <w:color w:val="333333"/>
      <w:u w:val="none"/>
    </w:rPr>
  </w:style>
  <w:style w:type="character" w:styleId="23">
    <w:name w:val="Hyperlink"/>
    <w:basedOn w:val="19"/>
    <w:semiHidden/>
    <w:unhideWhenUsed/>
    <w:qFormat/>
    <w:uiPriority w:val="99"/>
    <w:rPr>
      <w:rFonts w:ascii="微软雅黑" w:hAnsi="微软雅黑" w:eastAsia="微软雅黑" w:cs="微软雅黑"/>
      <w:color w:val="333333"/>
      <w:u w:val="none"/>
    </w:rPr>
  </w:style>
  <w:style w:type="character" w:styleId="24">
    <w:name w:val="annotation reference"/>
    <w:semiHidden/>
    <w:qFormat/>
    <w:uiPriority w:val="0"/>
    <w:rPr>
      <w:sz w:val="21"/>
      <w:szCs w:val="21"/>
    </w:rPr>
  </w:style>
  <w:style w:type="character" w:customStyle="1" w:styleId="25">
    <w:name w:val="标题 1 Char"/>
    <w:basedOn w:val="19"/>
    <w:link w:val="2"/>
    <w:qFormat/>
    <w:uiPriority w:val="9"/>
    <w:rPr>
      <w:rFonts w:ascii="Calibri" w:hAnsi="Calibri" w:eastAsia="黑体" w:cs="Calibri"/>
      <w:bCs/>
      <w:kern w:val="44"/>
      <w:sz w:val="32"/>
      <w:szCs w:val="44"/>
    </w:rPr>
  </w:style>
  <w:style w:type="character" w:customStyle="1" w:styleId="26">
    <w:name w:val="标题 Char"/>
    <w:basedOn w:val="19"/>
    <w:link w:val="16"/>
    <w:qFormat/>
    <w:uiPriority w:val="10"/>
    <w:rPr>
      <w:rFonts w:ascii="Cambria" w:hAnsi="Cambria" w:eastAsia="方正小标宋简体" w:cs="Times New Roman"/>
      <w:bCs/>
      <w:sz w:val="44"/>
      <w:szCs w:val="32"/>
    </w:rPr>
  </w:style>
  <w:style w:type="character" w:customStyle="1" w:styleId="27">
    <w:name w:val="页眉 Char"/>
    <w:basedOn w:val="19"/>
    <w:link w:val="13"/>
    <w:qFormat/>
    <w:uiPriority w:val="99"/>
    <w:rPr>
      <w:sz w:val="18"/>
      <w:szCs w:val="18"/>
    </w:rPr>
  </w:style>
  <w:style w:type="character" w:customStyle="1" w:styleId="28">
    <w:name w:val="页脚 Char"/>
    <w:basedOn w:val="19"/>
    <w:link w:val="12"/>
    <w:qFormat/>
    <w:uiPriority w:val="99"/>
    <w:rPr>
      <w:sz w:val="18"/>
      <w:szCs w:val="18"/>
    </w:rPr>
  </w:style>
  <w:style w:type="character" w:customStyle="1" w:styleId="29">
    <w:name w:val="文档结构图 Char"/>
    <w:basedOn w:val="19"/>
    <w:link w:val="6"/>
    <w:semiHidden/>
    <w:qFormat/>
    <w:uiPriority w:val="0"/>
    <w:rPr>
      <w:rFonts w:ascii="Times New Roman" w:hAnsi="Times New Roman" w:eastAsia="宋体" w:cs="Times New Roman"/>
      <w:szCs w:val="24"/>
      <w:shd w:val="clear" w:color="auto" w:fill="000080"/>
    </w:rPr>
  </w:style>
  <w:style w:type="paragraph" w:styleId="30">
    <w:name w:val="List Paragraph"/>
    <w:basedOn w:val="1"/>
    <w:qFormat/>
    <w:uiPriority w:val="34"/>
    <w:pPr>
      <w:widowControl/>
      <w:ind w:left="720"/>
      <w:contextualSpacing/>
      <w:jc w:val="left"/>
    </w:pPr>
    <w:rPr>
      <w:kern w:val="0"/>
      <w:sz w:val="24"/>
      <w:lang w:eastAsia="en-US"/>
    </w:rPr>
  </w:style>
  <w:style w:type="character" w:customStyle="1" w:styleId="31">
    <w:name w:val="副标题 Char"/>
    <w:basedOn w:val="19"/>
    <w:link w:val="14"/>
    <w:qFormat/>
    <w:uiPriority w:val="11"/>
    <w:rPr>
      <w:rFonts w:ascii="Cambria" w:hAnsi="Cambria" w:eastAsia="宋体" w:cs="Times New Roman"/>
      <w:b/>
      <w:bCs/>
      <w:kern w:val="28"/>
      <w:sz w:val="32"/>
      <w:szCs w:val="32"/>
    </w:rPr>
  </w:style>
  <w:style w:type="character" w:customStyle="1" w:styleId="32">
    <w:name w:val="纯文本 Char"/>
    <w:basedOn w:val="19"/>
    <w:link w:val="8"/>
    <w:qFormat/>
    <w:uiPriority w:val="99"/>
    <w:rPr>
      <w:rFonts w:ascii="宋体" w:hAnsi="宋体" w:eastAsia="仿宋_GB2312" w:cs="Times New Roman"/>
      <w:kern w:val="0"/>
      <w:sz w:val="28"/>
      <w:szCs w:val="21"/>
    </w:rPr>
  </w:style>
  <w:style w:type="paragraph" w:customStyle="1" w:styleId="33">
    <w:name w:val="Default"/>
    <w:qFormat/>
    <w:uiPriority w:val="0"/>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paragraph" w:customStyle="1" w:styleId="34">
    <w:name w:val="王奕改内文"/>
    <w:basedOn w:val="1"/>
    <w:link w:val="35"/>
    <w:qFormat/>
    <w:uiPriority w:val="0"/>
    <w:pPr>
      <w:widowControl/>
      <w:spacing w:line="360" w:lineRule="auto"/>
      <w:ind w:firstLine="200" w:firstLineChars="200"/>
    </w:pPr>
    <w:rPr>
      <w:rFonts w:ascii="宋体" w:hAnsi="宋体" w:cs="MS Shell Dlg"/>
      <w:color w:val="000000"/>
      <w:spacing w:val="-4"/>
      <w:kern w:val="0"/>
      <w:sz w:val="24"/>
    </w:rPr>
  </w:style>
  <w:style w:type="character" w:customStyle="1" w:styleId="35">
    <w:name w:val="王奕改内文 Char"/>
    <w:link w:val="34"/>
    <w:qFormat/>
    <w:uiPriority w:val="0"/>
    <w:rPr>
      <w:rFonts w:ascii="宋体" w:hAnsi="宋体" w:eastAsia="宋体" w:cs="MS Shell Dlg"/>
      <w:color w:val="000000"/>
      <w:spacing w:val="-4"/>
      <w:kern w:val="0"/>
      <w:sz w:val="24"/>
      <w:szCs w:val="24"/>
    </w:rPr>
  </w:style>
  <w:style w:type="paragraph" w:customStyle="1" w:styleId="36">
    <w:name w:val="列出段落1"/>
    <w:basedOn w:val="1"/>
    <w:qFormat/>
    <w:uiPriority w:val="0"/>
    <w:pPr>
      <w:ind w:firstLine="420" w:firstLineChars="200"/>
    </w:pPr>
    <w:rPr>
      <w:rFonts w:ascii="Calibri" w:hAnsi="Calibri"/>
      <w:szCs w:val="22"/>
    </w:rPr>
  </w:style>
  <w:style w:type="character" w:customStyle="1" w:styleId="37">
    <w:name w:val="批注框文本 Char"/>
    <w:basedOn w:val="19"/>
    <w:link w:val="11"/>
    <w:qFormat/>
    <w:uiPriority w:val="0"/>
    <w:rPr>
      <w:rFonts w:ascii="Times New Roman" w:hAnsi="Times New Roman" w:eastAsia="宋体" w:cs="Times New Roman"/>
      <w:sz w:val="18"/>
      <w:szCs w:val="18"/>
    </w:rPr>
  </w:style>
  <w:style w:type="character" w:customStyle="1" w:styleId="38">
    <w:name w:val="NormalCharacter"/>
    <w:semiHidden/>
    <w:qFormat/>
    <w:uiPriority w:val="0"/>
    <w:rPr>
      <w:kern w:val="2"/>
      <w:sz w:val="21"/>
      <w:szCs w:val="24"/>
      <w:lang w:val="en-US" w:eastAsia="zh-CN" w:bidi="ar-SA"/>
    </w:rPr>
  </w:style>
  <w:style w:type="character" w:customStyle="1" w:styleId="39">
    <w:name w:val="f101"/>
    <w:qFormat/>
    <w:uiPriority w:val="0"/>
    <w:rPr>
      <w:sz w:val="24"/>
      <w:szCs w:val="24"/>
    </w:rPr>
  </w:style>
  <w:style w:type="character" w:customStyle="1" w:styleId="40">
    <w:name w:val="span-title"/>
    <w:basedOn w:val="19"/>
    <w:qFormat/>
    <w:uiPriority w:val="0"/>
    <w:rPr>
      <w:bdr w:val="single" w:color="CCCCCC" w:sz="6" w:space="0"/>
      <w:shd w:val="clear" w:fill="FFFFFF"/>
    </w:rPr>
  </w:style>
  <w:style w:type="character" w:customStyle="1" w:styleId="41">
    <w:name w:val="before"/>
    <w:basedOn w:val="19"/>
    <w:qFormat/>
    <w:uiPriority w:val="0"/>
    <w:rPr>
      <w:rFonts w:ascii="LigatureSymbols" w:hAnsi="LigatureSymbols" w:eastAsia="LigatureSymbols" w:cs="LigatureSymbols"/>
      <w:sz w:val="120"/>
      <w:szCs w:val="120"/>
    </w:rPr>
  </w:style>
  <w:style w:type="character" w:customStyle="1" w:styleId="42">
    <w:name w:val="active2"/>
    <w:basedOn w:val="19"/>
    <w:qFormat/>
    <w:uiPriority w:val="0"/>
    <w:rPr>
      <w:b/>
      <w:bCs/>
      <w:color w:val="FF861B"/>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jpeg"/><Relationship Id="rId12" Type="http://schemas.openxmlformats.org/officeDocument/2006/relationships/image" Target="media/image5.png"/><Relationship Id="rId11" Type="http://schemas.openxmlformats.org/officeDocument/2006/relationships/image" Target="media/image4.jpe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2" textRotate="1"/>
    <customShpInfo spid="_x0000_s2049" textRotate="1"/>
    <customShpInfo spid="_x0000_s2050" textRotate="1"/>
    <customShpInfo spid="_x0000_s2051" textRotate="1"/>
    <customShpInfo spid="_x0000_s1081"/>
    <customShpInfo spid="_x0000_s1082"/>
    <customShpInfo spid="_x0000_s1080"/>
    <customShpInfo spid="_x0000_s1083"/>
    <customShpInfo spid="_x0000_s1079"/>
    <customShpInfo spid="_x0000_s1086"/>
    <customShpInfo spid="_x0000_s1087"/>
    <customShpInfo spid="_x0000_s1085"/>
    <customShpInfo spid="_x0000_s1088"/>
    <customShpInfo spid="_x0000_s1084"/>
    <customShpInfo spid="_x0000_s1091"/>
    <customShpInfo spid="_x0000_s1092"/>
    <customShpInfo spid="_x0000_s1090"/>
    <customShpInfo spid="_x0000_s1093"/>
    <customShpInfo spid="_x0000_s108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CFDA</Company>
  <Pages>20</Pages>
  <Words>8080</Words>
  <Characters>8771</Characters>
  <Lines>61</Lines>
  <Paragraphs>17</Paragraphs>
  <TotalTime>29</TotalTime>
  <ScaleCrop>false</ScaleCrop>
  <LinksUpToDate>false</LinksUpToDate>
  <CharactersWithSpaces>8872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2017-03-22T08:34:00Z</dcterms:created>
  <dc:creator>王兴龙</dc:creator>
  <cp:lastModifiedBy>Administrator</cp:lastModifiedBy>
  <cp:lastPrinted>2021-04-26T08:07:00Z</cp:lastPrinted>
  <dcterms:modified xsi:type="dcterms:W3CDTF">2021-10-08T06:48:57Z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557D1C06B21B4FE1B312A412C0C71472</vt:lpwstr>
  </property>
</Properties>
</file>